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EB" w:rsidRDefault="00481CEB" w:rsidP="00481CEB">
      <w:pPr>
        <w:rPr>
          <w:rFonts w:ascii="Times New Roman" w:eastAsia="Times New Roman" w:hAnsi="Times New Roman"/>
          <w:lang w:eastAsia="ru-RU"/>
        </w:rPr>
      </w:pPr>
      <w:r>
        <w:rPr>
          <w:rFonts w:ascii="Times New Roman" w:eastAsia="Times New Roman" w:hAnsi="Times New Roman"/>
          <w:lang w:eastAsia="ru-RU"/>
        </w:rPr>
        <w:t>Газета Увалобитиинского сельского поселения</w:t>
      </w:r>
    </w:p>
    <w:p w:rsidR="00481CEB" w:rsidRDefault="00481CEB" w:rsidP="00481CEB">
      <w:pPr>
        <w:rPr>
          <w:rFonts w:ascii="Times New Roman" w:eastAsia="Times New Roman" w:hAnsi="Times New Roman"/>
          <w:lang w:eastAsia="ru-RU"/>
        </w:rPr>
      </w:pPr>
      <w:r>
        <w:rPr>
          <w:rFonts w:ascii="Times New Roman" w:eastAsia="Times New Roman" w:hAnsi="Times New Roman"/>
          <w:lang w:eastAsia="ru-RU"/>
        </w:rPr>
        <w:t>Выпуск № 7  издается с ноября 2006 г</w:t>
      </w:r>
    </w:p>
    <w:p w:rsidR="00481CEB" w:rsidRDefault="00481CEB" w:rsidP="00481CEB">
      <w:pPr>
        <w:rPr>
          <w:rFonts w:ascii="Times New Roman" w:eastAsia="Times New Roman" w:hAnsi="Times New Roman"/>
          <w:lang w:eastAsia="ru-RU"/>
        </w:rPr>
      </w:pPr>
      <w:r>
        <w:rPr>
          <w:rFonts w:ascii="Times New Roman" w:eastAsia="Times New Roman" w:hAnsi="Times New Roman"/>
          <w:lang w:eastAsia="ru-RU"/>
        </w:rPr>
        <w:t>Муниципальный вестник</w:t>
      </w:r>
    </w:p>
    <w:p w:rsidR="00481CEB" w:rsidRDefault="00481CEB" w:rsidP="00481CEB">
      <w:pPr>
        <w:rPr>
          <w:rFonts w:ascii="Times New Roman" w:eastAsia="Times New Roman" w:hAnsi="Times New Roman"/>
          <w:lang w:eastAsia="ru-RU"/>
        </w:rPr>
      </w:pPr>
      <w:r>
        <w:rPr>
          <w:rFonts w:ascii="Times New Roman" w:eastAsia="Times New Roman" w:hAnsi="Times New Roman"/>
          <w:lang w:eastAsia="ru-RU"/>
        </w:rPr>
        <w:t>Увалобитиинского сельского поселения</w:t>
      </w:r>
    </w:p>
    <w:p w:rsidR="00481CEB" w:rsidRDefault="00481CEB" w:rsidP="00481CEB">
      <w:pPr>
        <w:rPr>
          <w:rFonts w:eastAsia="Times New Roman"/>
          <w:sz w:val="20"/>
          <w:lang w:eastAsia="ru-RU"/>
        </w:rPr>
      </w:pPr>
      <w:r>
        <w:rPr>
          <w:rFonts w:ascii="Times New Roman" w:eastAsia="Times New Roman" w:hAnsi="Times New Roman"/>
          <w:lang w:eastAsia="ru-RU"/>
        </w:rPr>
        <w:t>Тираж 15 экземпляров 27.04.2023 г</w:t>
      </w:r>
      <w:r>
        <w:rPr>
          <w:rFonts w:eastAsia="Times New Roman"/>
          <w:sz w:val="20"/>
          <w:lang w:eastAsia="ru-RU"/>
        </w:rPr>
        <w:t>.</w:t>
      </w:r>
    </w:p>
    <w:p w:rsidR="00481CEB" w:rsidRDefault="00481CEB" w:rsidP="00481CEB"/>
    <w:p w:rsidR="00481CEB" w:rsidRDefault="00481CEB" w:rsidP="00481CEB"/>
    <w:p w:rsidR="00481CEB" w:rsidRDefault="00481CEB" w:rsidP="00481CEB">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УВАЛОБИТИИНСКИЙ</w:t>
      </w:r>
    </w:p>
    <w:p w:rsidR="00481CEB" w:rsidRDefault="00481CEB" w:rsidP="00481CEB">
      <w:pPr>
        <w:spacing w:after="200" w:line="276" w:lineRule="auto"/>
        <w:ind w:firstLine="708"/>
        <w:jc w:val="center"/>
        <w:rPr>
          <w:rFonts w:ascii="Times New Roman" w:hAnsi="Times New Roman"/>
          <w:b/>
          <w:i/>
          <w:sz w:val="68"/>
          <w:szCs w:val="68"/>
          <w:u w:val="single"/>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imes New Roman" w:hAnsi="Times New Roman"/>
          <w:b/>
          <w:sz w:val="68"/>
          <w:szCs w:val="68"/>
          <w14:shadow w14:blurRad="50800" w14:dist="38100" w14:dir="0" w14:sx="100000" w14:sy="100000" w14:kx="0" w14:ky="0" w14:algn="l">
            <w14:srgbClr w14:val="000000">
              <w14:alpha w14:val="60000"/>
            </w14:srgbClr>
          </w14:shadow>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000000">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ВЕСТНИК</w:t>
      </w:r>
    </w:p>
    <w:p w:rsidR="00481CEB" w:rsidRPr="00481CEB" w:rsidRDefault="00481CEB" w:rsidP="00481CEB">
      <w:pPr>
        <w:jc w:val="center"/>
        <w:rPr>
          <w:rFonts w:ascii="Times New Roman" w:hAnsi="Times New Roman"/>
          <w:b/>
          <w:sz w:val="28"/>
          <w:szCs w:val="28"/>
        </w:rPr>
      </w:pPr>
      <w:proofErr w:type="gramStart"/>
      <w:r w:rsidRPr="00481CEB">
        <w:rPr>
          <w:rFonts w:ascii="Times New Roman" w:hAnsi="Times New Roman"/>
          <w:b/>
          <w:sz w:val="28"/>
          <w:szCs w:val="28"/>
        </w:rPr>
        <w:t>Омский</w:t>
      </w:r>
      <w:proofErr w:type="gramEnd"/>
      <w:r w:rsidRPr="00481CEB">
        <w:rPr>
          <w:rFonts w:ascii="Times New Roman" w:hAnsi="Times New Roman"/>
          <w:b/>
          <w:sz w:val="28"/>
          <w:szCs w:val="28"/>
        </w:rPr>
        <w:t xml:space="preserve"> </w:t>
      </w:r>
      <w:proofErr w:type="spellStart"/>
      <w:r w:rsidRPr="00481CEB">
        <w:rPr>
          <w:rFonts w:ascii="Times New Roman" w:hAnsi="Times New Roman"/>
          <w:b/>
          <w:sz w:val="28"/>
          <w:szCs w:val="28"/>
        </w:rPr>
        <w:t>Росреестр</w:t>
      </w:r>
      <w:proofErr w:type="spellEnd"/>
      <w:r w:rsidRPr="00481CEB">
        <w:rPr>
          <w:rFonts w:ascii="Times New Roman" w:hAnsi="Times New Roman"/>
          <w:b/>
          <w:sz w:val="28"/>
          <w:szCs w:val="28"/>
        </w:rPr>
        <w:t xml:space="preserve"> подвел итоги </w:t>
      </w:r>
      <w:r w:rsidRPr="00481CEB">
        <w:rPr>
          <w:rFonts w:ascii="Times New Roman" w:hAnsi="Times New Roman"/>
          <w:b/>
          <w:sz w:val="28"/>
          <w:szCs w:val="28"/>
          <w:lang w:val="en-US"/>
        </w:rPr>
        <w:t>I</w:t>
      </w:r>
      <w:r w:rsidRPr="00481CEB">
        <w:rPr>
          <w:rFonts w:ascii="Times New Roman" w:hAnsi="Times New Roman"/>
          <w:b/>
          <w:sz w:val="28"/>
          <w:szCs w:val="28"/>
        </w:rPr>
        <w:t xml:space="preserve"> квартала 2023 года </w:t>
      </w:r>
    </w:p>
    <w:p w:rsidR="00481CEB" w:rsidRPr="00481CEB" w:rsidRDefault="00481CEB" w:rsidP="00481CEB">
      <w:pPr>
        <w:ind w:firstLine="709"/>
        <w:jc w:val="center"/>
        <w:rPr>
          <w:rFonts w:ascii="Times New Roman" w:hAnsi="Times New Roman"/>
          <w:b/>
          <w:sz w:val="28"/>
          <w:szCs w:val="28"/>
        </w:rPr>
      </w:pPr>
      <w:r w:rsidRPr="00481CEB">
        <w:rPr>
          <w:rFonts w:ascii="Times New Roman" w:hAnsi="Times New Roman"/>
          <w:b/>
          <w:sz w:val="28"/>
          <w:szCs w:val="28"/>
        </w:rPr>
        <w:t>по сокращению доли приостановлений при осуществлении УРД</w:t>
      </w:r>
    </w:p>
    <w:p w:rsidR="00481CEB" w:rsidRPr="00481CEB" w:rsidRDefault="00481CEB" w:rsidP="00481CEB">
      <w:pPr>
        <w:ind w:firstLine="709"/>
        <w:jc w:val="both"/>
        <w:rPr>
          <w:rFonts w:ascii="Times New Roman" w:hAnsi="Times New Roman"/>
          <w:sz w:val="28"/>
          <w:szCs w:val="28"/>
        </w:rPr>
      </w:pP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В Управлении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по Омской области продолжается работа, направленная на сокращение доли решений о приостановлении при осуществлении учетно-регистрационных действий.  </w:t>
      </w: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По итогам </w:t>
      </w:r>
      <w:r w:rsidRPr="00481CEB">
        <w:rPr>
          <w:rFonts w:ascii="Times New Roman" w:hAnsi="Times New Roman"/>
          <w:sz w:val="28"/>
          <w:szCs w:val="28"/>
          <w:lang w:val="en-US"/>
        </w:rPr>
        <w:t>I</w:t>
      </w:r>
      <w:r w:rsidRPr="00481CEB">
        <w:rPr>
          <w:rFonts w:ascii="Times New Roman" w:hAnsi="Times New Roman"/>
          <w:sz w:val="28"/>
          <w:szCs w:val="28"/>
        </w:rPr>
        <w:t xml:space="preserve"> квартала 2023 года:</w:t>
      </w: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 доля решений о приостановлении государственного кадастрового учета от общего числа поступивших документов составила 1,14 % (в </w:t>
      </w:r>
      <w:r w:rsidRPr="00481CEB">
        <w:rPr>
          <w:rFonts w:ascii="Times New Roman" w:hAnsi="Times New Roman"/>
          <w:sz w:val="28"/>
          <w:szCs w:val="28"/>
          <w:lang w:val="en-US"/>
        </w:rPr>
        <w:t>I</w:t>
      </w:r>
      <w:r w:rsidRPr="00481CEB">
        <w:rPr>
          <w:rFonts w:ascii="Times New Roman" w:hAnsi="Times New Roman"/>
          <w:sz w:val="28"/>
          <w:szCs w:val="28"/>
        </w:rPr>
        <w:t xml:space="preserve"> квартал 2022 года – 2,03 %);</w:t>
      </w: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 доля решений о приостановлении государственной регистрации права составила 0,86 % (в </w:t>
      </w:r>
      <w:r w:rsidRPr="00481CEB">
        <w:rPr>
          <w:rFonts w:ascii="Times New Roman" w:hAnsi="Times New Roman"/>
          <w:sz w:val="28"/>
          <w:szCs w:val="28"/>
          <w:lang w:val="en-US"/>
        </w:rPr>
        <w:t>I</w:t>
      </w:r>
      <w:r w:rsidRPr="00481CEB">
        <w:rPr>
          <w:rFonts w:ascii="Times New Roman" w:hAnsi="Times New Roman"/>
          <w:sz w:val="28"/>
          <w:szCs w:val="28"/>
        </w:rPr>
        <w:t xml:space="preserve"> квартале 2022 года – 1 %);</w:t>
      </w: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 доля решений о приостановлении государственного кадастрового учета и государственной регистрации права (единая процедура) составила 2,08 % (в </w:t>
      </w:r>
      <w:r w:rsidRPr="00481CEB">
        <w:rPr>
          <w:rFonts w:ascii="Times New Roman" w:hAnsi="Times New Roman"/>
          <w:sz w:val="28"/>
          <w:szCs w:val="28"/>
          <w:lang w:val="en-US"/>
        </w:rPr>
        <w:t>I</w:t>
      </w:r>
      <w:r w:rsidRPr="00481CEB">
        <w:rPr>
          <w:rFonts w:ascii="Times New Roman" w:hAnsi="Times New Roman"/>
          <w:sz w:val="28"/>
          <w:szCs w:val="28"/>
        </w:rPr>
        <w:t xml:space="preserve"> квартале 2022 года – 2,84%).</w:t>
      </w: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Управлением особое внимание уделяется достижению контрольных показателей «дорожной карты» по «бытовой недвижимости» и объектам недвижимого имущества, которые включены в федеральную адресную инвестиционную программу, утвержденную заместителем Председателя Правительства Российской Федерации Маратом </w:t>
      </w:r>
      <w:proofErr w:type="spellStart"/>
      <w:r w:rsidRPr="00481CEB">
        <w:rPr>
          <w:rFonts w:ascii="Times New Roman" w:hAnsi="Times New Roman"/>
          <w:sz w:val="28"/>
          <w:szCs w:val="28"/>
        </w:rPr>
        <w:t>Хуснуллиным</w:t>
      </w:r>
      <w:proofErr w:type="spellEnd"/>
      <w:r w:rsidRPr="00481CEB">
        <w:rPr>
          <w:rFonts w:ascii="Times New Roman" w:hAnsi="Times New Roman"/>
          <w:sz w:val="28"/>
          <w:szCs w:val="28"/>
        </w:rPr>
        <w:t xml:space="preserve"> в марте 2022 года. </w:t>
      </w:r>
    </w:p>
    <w:p w:rsidR="00481CEB" w:rsidRPr="00481CEB" w:rsidRDefault="00481CEB" w:rsidP="00481CEB">
      <w:pPr>
        <w:ind w:firstLine="709"/>
        <w:jc w:val="both"/>
        <w:rPr>
          <w:rFonts w:ascii="Times New Roman" w:eastAsia="Times New Roman" w:hAnsi="Times New Roman"/>
          <w:sz w:val="28"/>
          <w:szCs w:val="28"/>
          <w:lang w:eastAsia="ru-RU"/>
        </w:rPr>
      </w:pPr>
      <w:proofErr w:type="gramStart"/>
      <w:r w:rsidRPr="00481CEB">
        <w:rPr>
          <w:rFonts w:ascii="Times New Roman" w:hAnsi="Times New Roman"/>
          <w:sz w:val="28"/>
          <w:szCs w:val="28"/>
        </w:rPr>
        <w:t>К объектам «бытовой недвижимости» относятся многоквартирные дома (государственная регистрация прав не проводится) и расположенные в них помещения, жилые дома, садовые дома, сопутствующие объекты (индивидуальные гаражи, объекты вспомогательного использования, в том числе хозяйственные постройки, и т. п.) и земельные участки, предоставленные для их строительства.</w:t>
      </w:r>
      <w:r w:rsidRPr="00481CEB">
        <w:rPr>
          <w:rFonts w:ascii="Times New Roman" w:eastAsia="Times New Roman" w:hAnsi="Times New Roman"/>
          <w:sz w:val="28"/>
          <w:szCs w:val="28"/>
          <w:lang w:eastAsia="ru-RU"/>
        </w:rPr>
        <w:t xml:space="preserve"> </w:t>
      </w:r>
      <w:proofErr w:type="gramEnd"/>
    </w:p>
    <w:p w:rsidR="00481CEB" w:rsidRPr="00481CEB" w:rsidRDefault="00481CEB" w:rsidP="00481CEB">
      <w:pPr>
        <w:ind w:firstLine="709"/>
        <w:jc w:val="both"/>
        <w:rPr>
          <w:rFonts w:ascii="Times New Roman" w:eastAsia="Times New Roman" w:hAnsi="Times New Roman"/>
          <w:sz w:val="28"/>
          <w:szCs w:val="28"/>
          <w:lang w:eastAsia="ru-RU"/>
        </w:rPr>
      </w:pPr>
      <w:proofErr w:type="gramStart"/>
      <w:r w:rsidRPr="00481CEB">
        <w:rPr>
          <w:rFonts w:ascii="Times New Roman" w:hAnsi="Times New Roman"/>
          <w:sz w:val="28"/>
          <w:szCs w:val="28"/>
        </w:rPr>
        <w:t xml:space="preserve">Кроме того, что сроки кадастрового учета и регистрации «бытовой недвижимости» по заявлениям, представленным в электронном виде, сокращены до 1 рабочего дня, доля решений о приостановлении государственного кадастрового учета и (или) государственной регистрации прав в отношении объектов «бытовой недвижимости» по документам, </w:t>
      </w:r>
      <w:r w:rsidRPr="00481CEB">
        <w:rPr>
          <w:rFonts w:ascii="Times New Roman" w:hAnsi="Times New Roman"/>
          <w:sz w:val="28"/>
          <w:szCs w:val="28"/>
        </w:rPr>
        <w:lastRenderedPageBreak/>
        <w:t xml:space="preserve">представленным в электронном виде, в </w:t>
      </w:r>
      <w:r w:rsidRPr="00481CEB">
        <w:rPr>
          <w:rFonts w:ascii="Times New Roman" w:hAnsi="Times New Roman"/>
          <w:sz w:val="28"/>
          <w:szCs w:val="28"/>
          <w:lang w:val="en-US"/>
        </w:rPr>
        <w:t>I</w:t>
      </w:r>
      <w:r w:rsidRPr="00481CEB">
        <w:rPr>
          <w:rFonts w:ascii="Times New Roman" w:hAnsi="Times New Roman"/>
          <w:sz w:val="28"/>
          <w:szCs w:val="28"/>
        </w:rPr>
        <w:t xml:space="preserve"> квартале 2023 года сократилась до 0,01 % (в </w:t>
      </w:r>
      <w:r w:rsidRPr="00481CEB">
        <w:rPr>
          <w:rFonts w:ascii="Times New Roman" w:hAnsi="Times New Roman"/>
          <w:sz w:val="28"/>
          <w:szCs w:val="28"/>
          <w:lang w:val="en-US"/>
        </w:rPr>
        <w:t>I</w:t>
      </w:r>
      <w:r w:rsidRPr="00481CEB">
        <w:rPr>
          <w:rFonts w:ascii="Times New Roman" w:hAnsi="Times New Roman"/>
          <w:sz w:val="28"/>
          <w:szCs w:val="28"/>
        </w:rPr>
        <w:t xml:space="preserve"> квартале – 1,82 %). </w:t>
      </w:r>
      <w:proofErr w:type="gramEnd"/>
    </w:p>
    <w:p w:rsidR="00481CEB" w:rsidRPr="00481CEB" w:rsidRDefault="00481CEB" w:rsidP="00481CEB">
      <w:pPr>
        <w:ind w:firstLine="709"/>
        <w:jc w:val="both"/>
        <w:rPr>
          <w:rFonts w:ascii="Times New Roman" w:eastAsia="Times New Roman" w:hAnsi="Times New Roman"/>
          <w:sz w:val="28"/>
          <w:szCs w:val="28"/>
          <w:lang w:eastAsia="ru-RU"/>
        </w:rPr>
      </w:pPr>
      <w:r w:rsidRPr="00481CEB">
        <w:rPr>
          <w:rFonts w:ascii="Times New Roman" w:hAnsi="Times New Roman"/>
          <w:sz w:val="28"/>
          <w:szCs w:val="28"/>
        </w:rPr>
        <w:t xml:space="preserve">В целях сокращения доли решений о приостановлении при осуществлении учётно-регистрационных действий большое внимание уделяется работе со всеми участниками профессионального рынка недвижимости, в том числе кадастровыми инженерами, застройщиками, а также представителями органов власти и органов местного самоуправления. </w:t>
      </w: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Управлением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по Омской области регулярно проводятся семинары, заседания, рабочие встречи, на которых обсуждаются вопросы, возникающие при осуществлении учётно-регистрационной деятельности.</w:t>
      </w: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В целях исключения необоснованных решений о приостановлении учетно-регистрационных действий, решений о возврате без рассмотрения, а также снижения доли приостановлений усилен </w:t>
      </w:r>
      <w:proofErr w:type="gramStart"/>
      <w:r w:rsidRPr="00481CEB">
        <w:rPr>
          <w:rFonts w:ascii="Times New Roman" w:hAnsi="Times New Roman"/>
          <w:sz w:val="28"/>
          <w:szCs w:val="28"/>
        </w:rPr>
        <w:t>контроль за</w:t>
      </w:r>
      <w:proofErr w:type="gramEnd"/>
      <w:r w:rsidRPr="00481CEB">
        <w:rPr>
          <w:rFonts w:ascii="Times New Roman" w:hAnsi="Times New Roman"/>
          <w:sz w:val="28"/>
          <w:szCs w:val="28"/>
        </w:rPr>
        <w:t xml:space="preserve"> каждым принимаемым государственным регистратором решением о приостановлении или отказе в государственной регистрации прав и (или) государственном кадастровом учете, о возврате без рассмотрения. </w:t>
      </w:r>
    </w:p>
    <w:p w:rsidR="00481CEB" w:rsidRPr="00481CEB" w:rsidRDefault="00481CEB" w:rsidP="00481CEB">
      <w:pPr>
        <w:ind w:firstLine="709"/>
        <w:jc w:val="both"/>
        <w:rPr>
          <w:rFonts w:ascii="Times New Roman" w:hAnsi="Times New Roman"/>
          <w:sz w:val="28"/>
          <w:szCs w:val="28"/>
        </w:rPr>
      </w:pPr>
      <w:r w:rsidRPr="00481CEB">
        <w:rPr>
          <w:rFonts w:ascii="Times New Roman" w:hAnsi="Times New Roman"/>
          <w:sz w:val="28"/>
          <w:szCs w:val="28"/>
        </w:rPr>
        <w:t xml:space="preserve">«В целях повышения качества и доступности предоставления услуг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проводимая работа по снижению количества решений о приостановлении или отказов при осуществлении учетно-регистрационных действий находится на особом контроле», – отметила заместитель руководителя Управления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по Омской области Анжелика Иванова.</w:t>
      </w:r>
    </w:p>
    <w:p w:rsidR="00481CEB" w:rsidRPr="00481CEB" w:rsidRDefault="00481CEB" w:rsidP="00481CEB">
      <w:pPr>
        <w:spacing w:after="160" w:line="256" w:lineRule="auto"/>
        <w:jc w:val="both"/>
        <w:rPr>
          <w:rFonts w:ascii="Times New Roman" w:hAnsi="Times New Roman"/>
          <w:sz w:val="28"/>
          <w:szCs w:val="28"/>
        </w:rPr>
      </w:pPr>
    </w:p>
    <w:p w:rsidR="00481CEB" w:rsidRPr="00481CEB" w:rsidRDefault="00481CEB" w:rsidP="00481CEB">
      <w:pPr>
        <w:spacing w:after="160" w:line="256" w:lineRule="auto"/>
        <w:jc w:val="both"/>
        <w:rPr>
          <w:rFonts w:ascii="Times New Roman" w:hAnsi="Times New Roman"/>
          <w:sz w:val="28"/>
          <w:szCs w:val="28"/>
        </w:rPr>
      </w:pPr>
      <w:r w:rsidRPr="00481CEB">
        <w:rPr>
          <w:rFonts w:ascii="Times New Roman" w:hAnsi="Times New Roman"/>
          <w:sz w:val="28"/>
          <w:szCs w:val="28"/>
        </w:rPr>
        <w:t xml:space="preserve">Пресс-служба Управления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по Омской области</w:t>
      </w:r>
    </w:p>
    <w:p w:rsidR="00481CEB" w:rsidRPr="00481CEB" w:rsidRDefault="00481CEB" w:rsidP="00481CEB">
      <w:pPr>
        <w:ind w:firstLine="708"/>
        <w:jc w:val="both"/>
        <w:rPr>
          <w:rFonts w:ascii="Times New Roman" w:hAnsi="Times New Roman"/>
          <w:b/>
          <w:sz w:val="28"/>
          <w:szCs w:val="28"/>
        </w:rPr>
      </w:pPr>
      <w:proofErr w:type="gramStart"/>
      <w:r w:rsidRPr="00481CEB">
        <w:rPr>
          <w:rFonts w:ascii="Times New Roman" w:hAnsi="Times New Roman"/>
          <w:b/>
          <w:sz w:val="28"/>
          <w:szCs w:val="28"/>
        </w:rPr>
        <w:t>Омский</w:t>
      </w:r>
      <w:proofErr w:type="gramEnd"/>
      <w:r w:rsidRPr="00481CEB">
        <w:rPr>
          <w:rFonts w:ascii="Times New Roman" w:hAnsi="Times New Roman"/>
          <w:b/>
          <w:sz w:val="28"/>
          <w:szCs w:val="28"/>
        </w:rPr>
        <w:t xml:space="preserve"> </w:t>
      </w:r>
      <w:proofErr w:type="spellStart"/>
      <w:r w:rsidRPr="00481CEB">
        <w:rPr>
          <w:rFonts w:ascii="Times New Roman" w:hAnsi="Times New Roman"/>
          <w:b/>
          <w:sz w:val="28"/>
          <w:szCs w:val="28"/>
        </w:rPr>
        <w:t>Росреестр</w:t>
      </w:r>
      <w:proofErr w:type="spellEnd"/>
      <w:r w:rsidRPr="00481CEB">
        <w:rPr>
          <w:rFonts w:ascii="Times New Roman" w:hAnsi="Times New Roman"/>
          <w:b/>
          <w:sz w:val="28"/>
          <w:szCs w:val="28"/>
        </w:rPr>
        <w:t xml:space="preserve"> рассказывает, как правильно выбрать кадастрового инженера </w:t>
      </w:r>
    </w:p>
    <w:p w:rsidR="00481CEB" w:rsidRPr="00481CEB" w:rsidRDefault="00481CEB" w:rsidP="00481CEB">
      <w:pPr>
        <w:ind w:firstLine="708"/>
        <w:jc w:val="both"/>
        <w:rPr>
          <w:rFonts w:ascii="Times New Roman" w:hAnsi="Times New Roman"/>
          <w:sz w:val="28"/>
          <w:szCs w:val="28"/>
        </w:rPr>
      </w:pPr>
    </w:p>
    <w:p w:rsidR="00481CEB" w:rsidRPr="00481CEB" w:rsidRDefault="00481CEB" w:rsidP="00481CEB">
      <w:pPr>
        <w:ind w:firstLine="708"/>
        <w:jc w:val="both"/>
        <w:rPr>
          <w:rFonts w:ascii="Times New Roman" w:hAnsi="Times New Roman"/>
          <w:sz w:val="28"/>
          <w:szCs w:val="28"/>
        </w:rPr>
      </w:pPr>
      <w:r w:rsidRPr="00481CEB">
        <w:rPr>
          <w:rFonts w:ascii="Times New Roman" w:hAnsi="Times New Roman"/>
          <w:sz w:val="28"/>
          <w:szCs w:val="28"/>
        </w:rPr>
        <w:t>Кадастровый инженер – ключевая фигура в подготовке документов для постановки на кадастровый учет земельного участка, уточнения его границ и площади, осуществления кадастрового учета объектов капитального строительства. От его квалификации и уровня компетенции зависит качество выполнения кадастровых работ и подготавливаемых им документов.</w:t>
      </w:r>
    </w:p>
    <w:p w:rsidR="00481CEB" w:rsidRPr="00481CEB" w:rsidRDefault="00481CEB" w:rsidP="00481CEB">
      <w:pPr>
        <w:ind w:firstLine="708"/>
        <w:jc w:val="both"/>
        <w:rPr>
          <w:rFonts w:ascii="Times New Roman" w:hAnsi="Times New Roman"/>
          <w:sz w:val="28"/>
          <w:szCs w:val="28"/>
        </w:rPr>
      </w:pPr>
      <w:r w:rsidRPr="00481CEB">
        <w:rPr>
          <w:rFonts w:ascii="Times New Roman" w:hAnsi="Times New Roman"/>
          <w:sz w:val="28"/>
          <w:szCs w:val="28"/>
        </w:rPr>
        <w:t xml:space="preserve">Одним из приоритетных направлений совершенствования деятельности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является реализация мероприятий, направленных на повышение качества подготавливаемых кадастровыми инженерами технических и межевых планов.</w:t>
      </w:r>
    </w:p>
    <w:p w:rsidR="00481CEB" w:rsidRPr="00481CEB" w:rsidRDefault="00481CEB" w:rsidP="00481CEB">
      <w:pPr>
        <w:ind w:firstLine="708"/>
        <w:jc w:val="both"/>
        <w:rPr>
          <w:rFonts w:ascii="Times New Roman" w:hAnsi="Times New Roman"/>
          <w:sz w:val="28"/>
          <w:szCs w:val="28"/>
        </w:rPr>
      </w:pPr>
      <w:r w:rsidRPr="00481CEB">
        <w:rPr>
          <w:rFonts w:ascii="Times New Roman" w:hAnsi="Times New Roman"/>
          <w:sz w:val="28"/>
          <w:szCs w:val="28"/>
        </w:rPr>
        <w:t xml:space="preserve"> Ошибки при подготовке документов увеличивают сроки постановки объекта недвижимости на кадастровый учет, поэтому выбор квалифицированного и грамотного специалиста очень важен. Как это сделать? </w:t>
      </w:r>
    </w:p>
    <w:p w:rsidR="00481CEB" w:rsidRPr="00481CEB" w:rsidRDefault="00481CEB" w:rsidP="00481CEB">
      <w:pPr>
        <w:ind w:firstLine="708"/>
        <w:jc w:val="both"/>
        <w:rPr>
          <w:rFonts w:ascii="Times New Roman" w:hAnsi="Times New Roman"/>
          <w:sz w:val="28"/>
          <w:szCs w:val="28"/>
        </w:rPr>
      </w:pPr>
      <w:r w:rsidRPr="00481CEB">
        <w:rPr>
          <w:rFonts w:ascii="Times New Roman" w:hAnsi="Times New Roman"/>
          <w:sz w:val="28"/>
          <w:szCs w:val="28"/>
        </w:rPr>
        <w:t xml:space="preserve">Управление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по Омской области рекомендует проверять сведения о кадастровом инженере как о специалисте перед заключением договора подряда на выполнение работ. При выборе кадастрового инженера стоит предварительно проанализировать всю доступную информацию, например, воспользовавшись возможностями Интернета.</w:t>
      </w:r>
    </w:p>
    <w:p w:rsidR="00481CEB" w:rsidRPr="00481CEB" w:rsidRDefault="00481CEB" w:rsidP="00481CEB">
      <w:pPr>
        <w:ind w:firstLine="708"/>
        <w:jc w:val="both"/>
        <w:rPr>
          <w:rFonts w:ascii="Times New Roman" w:hAnsi="Times New Roman"/>
          <w:sz w:val="28"/>
          <w:szCs w:val="28"/>
        </w:rPr>
      </w:pPr>
      <w:r w:rsidRPr="00481CEB">
        <w:rPr>
          <w:rFonts w:ascii="Times New Roman" w:hAnsi="Times New Roman"/>
          <w:sz w:val="28"/>
          <w:szCs w:val="28"/>
        </w:rPr>
        <w:lastRenderedPageBreak/>
        <w:t xml:space="preserve">Деятельность кадастрового инженера подлежит строгому контролю со стороны саморегулируемой организации кадастровых инженеров, членом которой он является. </w:t>
      </w:r>
    </w:p>
    <w:p w:rsidR="00481CEB" w:rsidRPr="00481CEB" w:rsidRDefault="00481CEB" w:rsidP="00481CEB">
      <w:pPr>
        <w:ind w:firstLine="708"/>
        <w:jc w:val="both"/>
        <w:rPr>
          <w:rFonts w:ascii="Times New Roman" w:hAnsi="Times New Roman"/>
          <w:sz w:val="28"/>
          <w:szCs w:val="28"/>
        </w:rPr>
      </w:pPr>
      <w:r w:rsidRPr="00481CEB">
        <w:rPr>
          <w:rFonts w:ascii="Times New Roman" w:hAnsi="Times New Roman"/>
          <w:sz w:val="28"/>
          <w:szCs w:val="28"/>
        </w:rPr>
        <w:t xml:space="preserve">Сведения о кадастровых инженерах содержатся в реестрах членов саморегулируемых организаций кадастровых инженеров, публикуемых на официальных сайтах СРО, а также в государственном реестре кадастровых инженеров, размещенном на официальном сайте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w:t>
      </w:r>
      <w:hyperlink r:id="rId6" w:history="1">
        <w:r w:rsidRPr="00481CEB">
          <w:rPr>
            <w:rFonts w:ascii="Times New Roman" w:hAnsi="Times New Roman"/>
            <w:color w:val="0000FF"/>
            <w:sz w:val="28"/>
            <w:szCs w:val="28"/>
            <w:u w:val="single"/>
          </w:rPr>
          <w:t>https://rosreestr.gov.ru/</w:t>
        </w:r>
      </w:hyperlink>
      <w:r w:rsidRPr="00481CEB">
        <w:rPr>
          <w:rFonts w:ascii="Times New Roman" w:hAnsi="Times New Roman"/>
          <w:sz w:val="28"/>
          <w:szCs w:val="28"/>
        </w:rPr>
        <w:t>) в разделе «Электронные услуги и сервисы».</w:t>
      </w:r>
    </w:p>
    <w:p w:rsidR="00481CEB" w:rsidRPr="00481CEB" w:rsidRDefault="00481CEB" w:rsidP="00481CEB">
      <w:pPr>
        <w:ind w:firstLine="708"/>
        <w:jc w:val="both"/>
        <w:rPr>
          <w:rFonts w:ascii="Times New Roman" w:hAnsi="Times New Roman"/>
          <w:sz w:val="28"/>
          <w:szCs w:val="28"/>
        </w:rPr>
      </w:pPr>
      <w:r w:rsidRPr="00481CEB">
        <w:rPr>
          <w:rFonts w:ascii="Times New Roman" w:hAnsi="Times New Roman"/>
          <w:sz w:val="28"/>
          <w:szCs w:val="28"/>
        </w:rPr>
        <w:t xml:space="preserve">В государственном реестре кадастровых инженеров содержатся данные обо всех кадастровых инженерах, занимающихся профессиональной деятельностью. Актуальные сведения о специалисте, такие как выдача или аннулирование квалификационного аттестата, вносятся в реестр кадастровых инженеров в течение двух дней, а остальные – не позднее 30 дней с момента изменения. Кроме того, в реестре в открытом доступе находятся не только контактные данные и сведения об аттестате, но и информация о профессиональной деятельности кадастровых инженеров, а именно количестве постановок на учет, отказов в учете и кадастровых ошибок. </w:t>
      </w:r>
    </w:p>
    <w:p w:rsidR="00481CEB" w:rsidRPr="00481CEB" w:rsidRDefault="00481CEB" w:rsidP="00481CEB">
      <w:pPr>
        <w:ind w:firstLine="708"/>
        <w:jc w:val="both"/>
      </w:pPr>
      <w:r w:rsidRPr="00481CEB">
        <w:rPr>
          <w:rFonts w:ascii="Times New Roman" w:eastAsia="Times New Roman" w:hAnsi="Times New Roman"/>
          <w:sz w:val="28"/>
          <w:szCs w:val="28"/>
          <w:lang w:eastAsia="ru-RU"/>
        </w:rPr>
        <w:t>Кадастровый инженер, осуществляя свою деятельность, несет самостоятельную ответственность, в том числе административную и уголовную, он должен обладать высокой квалификацией и соблюдать действующее законодательство.</w:t>
      </w:r>
      <w:r w:rsidRPr="00481CEB">
        <w:t xml:space="preserve"> </w:t>
      </w:r>
    </w:p>
    <w:p w:rsidR="00481CEB" w:rsidRPr="00481CEB" w:rsidRDefault="00481CEB" w:rsidP="00481CEB">
      <w:pPr>
        <w:ind w:firstLine="708"/>
        <w:jc w:val="both"/>
      </w:pPr>
    </w:p>
    <w:p w:rsidR="00481CEB" w:rsidRPr="00481CEB" w:rsidRDefault="00481CEB" w:rsidP="00481CEB">
      <w:pPr>
        <w:ind w:firstLine="708"/>
        <w:jc w:val="both"/>
        <w:rPr>
          <w:rFonts w:ascii="Times New Roman" w:hAnsi="Times New Roman"/>
          <w:sz w:val="28"/>
          <w:szCs w:val="28"/>
        </w:rPr>
      </w:pPr>
      <w:r w:rsidRPr="00481CEB">
        <w:rPr>
          <w:rFonts w:ascii="Times New Roman" w:hAnsi="Times New Roman"/>
          <w:sz w:val="28"/>
          <w:szCs w:val="28"/>
        </w:rPr>
        <w:t xml:space="preserve">Пресс-служба Управления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по Омской области</w:t>
      </w:r>
    </w:p>
    <w:p w:rsidR="00481CEB" w:rsidRPr="00481CEB" w:rsidRDefault="00481CEB" w:rsidP="00481CEB">
      <w:pPr>
        <w:spacing w:after="160" w:line="256" w:lineRule="auto"/>
        <w:ind w:firstLine="567"/>
        <w:jc w:val="center"/>
        <w:rPr>
          <w:rFonts w:ascii="Times New Roman" w:hAnsi="Times New Roman"/>
          <w:b/>
          <w:color w:val="000000"/>
          <w:sz w:val="28"/>
          <w:szCs w:val="28"/>
          <w:shd w:val="clear" w:color="auto" w:fill="FFFFFF"/>
          <w:lang w:eastAsia="ru-RU"/>
        </w:rPr>
      </w:pPr>
      <w:proofErr w:type="gramStart"/>
      <w:r w:rsidRPr="00481CEB">
        <w:rPr>
          <w:rFonts w:ascii="Times New Roman" w:hAnsi="Times New Roman"/>
          <w:b/>
          <w:color w:val="000000"/>
          <w:sz w:val="28"/>
          <w:szCs w:val="28"/>
          <w:shd w:val="clear" w:color="auto" w:fill="FFFFFF"/>
          <w:lang w:eastAsia="ru-RU"/>
        </w:rPr>
        <w:t>Омский</w:t>
      </w:r>
      <w:proofErr w:type="gramEnd"/>
      <w:r w:rsidRPr="00481CEB">
        <w:rPr>
          <w:rFonts w:ascii="Times New Roman" w:hAnsi="Times New Roman"/>
          <w:b/>
          <w:color w:val="000000"/>
          <w:sz w:val="28"/>
          <w:szCs w:val="28"/>
          <w:shd w:val="clear" w:color="auto" w:fill="FFFFFF"/>
          <w:lang w:eastAsia="ru-RU"/>
        </w:rPr>
        <w:t xml:space="preserve"> </w:t>
      </w:r>
      <w:proofErr w:type="spellStart"/>
      <w:r w:rsidRPr="00481CEB">
        <w:rPr>
          <w:rFonts w:ascii="Times New Roman" w:hAnsi="Times New Roman"/>
          <w:b/>
          <w:color w:val="000000"/>
          <w:sz w:val="28"/>
          <w:szCs w:val="28"/>
          <w:shd w:val="clear" w:color="auto" w:fill="FFFFFF"/>
          <w:lang w:eastAsia="ru-RU"/>
        </w:rPr>
        <w:t>Росреестр</w:t>
      </w:r>
      <w:proofErr w:type="spellEnd"/>
      <w:r w:rsidRPr="00481CEB">
        <w:rPr>
          <w:rFonts w:ascii="Times New Roman" w:hAnsi="Times New Roman"/>
          <w:b/>
          <w:color w:val="000000"/>
          <w:sz w:val="28"/>
          <w:szCs w:val="28"/>
          <w:shd w:val="clear" w:color="auto" w:fill="FFFFFF"/>
          <w:lang w:eastAsia="ru-RU"/>
        </w:rPr>
        <w:t xml:space="preserve"> рассказывает о банкротстве граждан в условиях мобилизации</w:t>
      </w:r>
    </w:p>
    <w:p w:rsidR="00481CEB" w:rsidRPr="00481CEB" w:rsidRDefault="00481CEB" w:rsidP="00481CEB">
      <w:pPr>
        <w:spacing w:after="160" w:line="256" w:lineRule="auto"/>
        <w:ind w:firstLine="567"/>
        <w:jc w:val="both"/>
        <w:rPr>
          <w:rFonts w:ascii="Times New Roman" w:hAnsi="Times New Roman"/>
          <w:color w:val="000000"/>
          <w:sz w:val="28"/>
          <w:szCs w:val="28"/>
          <w:shd w:val="clear" w:color="auto" w:fill="FFFFFF"/>
          <w:lang w:eastAsia="ru-RU"/>
        </w:rPr>
      </w:pPr>
      <w:r w:rsidRPr="00481CEB">
        <w:rPr>
          <w:rFonts w:ascii="Times New Roman" w:hAnsi="Times New Roman"/>
          <w:color w:val="000000"/>
          <w:sz w:val="28"/>
          <w:szCs w:val="28"/>
          <w:shd w:val="clear" w:color="auto" w:fill="FFFFFF"/>
          <w:lang w:eastAsia="ru-RU"/>
        </w:rPr>
        <w:t xml:space="preserve">На некоторые актуальные вопросы отвечает начальник отдела по контролю (надзору) в сфере саморегулируемых организаций Управления </w:t>
      </w:r>
      <w:proofErr w:type="spellStart"/>
      <w:r w:rsidRPr="00481CEB">
        <w:rPr>
          <w:rFonts w:ascii="Times New Roman" w:hAnsi="Times New Roman"/>
          <w:color w:val="000000"/>
          <w:sz w:val="28"/>
          <w:szCs w:val="28"/>
          <w:shd w:val="clear" w:color="auto" w:fill="FFFFFF"/>
          <w:lang w:eastAsia="ru-RU"/>
        </w:rPr>
        <w:t>Росреестра</w:t>
      </w:r>
      <w:proofErr w:type="spellEnd"/>
      <w:r w:rsidRPr="00481CEB">
        <w:rPr>
          <w:rFonts w:ascii="Times New Roman" w:hAnsi="Times New Roman"/>
          <w:color w:val="000000"/>
          <w:sz w:val="28"/>
          <w:szCs w:val="28"/>
          <w:shd w:val="clear" w:color="auto" w:fill="FFFFFF"/>
          <w:lang w:eastAsia="ru-RU"/>
        </w:rPr>
        <w:t xml:space="preserve"> по Омской области Светлана </w:t>
      </w:r>
      <w:proofErr w:type="spellStart"/>
      <w:r w:rsidRPr="00481CEB">
        <w:rPr>
          <w:rFonts w:ascii="Times New Roman" w:hAnsi="Times New Roman"/>
          <w:color w:val="000000"/>
          <w:sz w:val="28"/>
          <w:szCs w:val="28"/>
          <w:shd w:val="clear" w:color="auto" w:fill="FFFFFF"/>
          <w:lang w:eastAsia="ru-RU"/>
        </w:rPr>
        <w:t>Чебакова</w:t>
      </w:r>
      <w:proofErr w:type="spellEnd"/>
      <w:r w:rsidRPr="00481CEB">
        <w:rPr>
          <w:rFonts w:ascii="Times New Roman" w:hAnsi="Times New Roman"/>
          <w:color w:val="000000"/>
          <w:sz w:val="28"/>
          <w:szCs w:val="28"/>
          <w:shd w:val="clear" w:color="auto" w:fill="FFFFFF"/>
          <w:lang w:eastAsia="ru-RU"/>
        </w:rPr>
        <w:t>.</w:t>
      </w:r>
    </w:p>
    <w:p w:rsidR="00481CEB" w:rsidRPr="00481CEB" w:rsidRDefault="00481CEB" w:rsidP="00481CEB">
      <w:pPr>
        <w:ind w:firstLine="567"/>
        <w:jc w:val="both"/>
        <w:rPr>
          <w:rFonts w:ascii="Times New Roman" w:hAnsi="Times New Roman"/>
          <w:color w:val="000000"/>
          <w:sz w:val="28"/>
          <w:szCs w:val="28"/>
          <w:shd w:val="clear" w:color="auto" w:fill="FFFFFF"/>
          <w:lang w:eastAsia="ru-RU"/>
        </w:rPr>
      </w:pPr>
      <w:r w:rsidRPr="00481CEB">
        <w:rPr>
          <w:rFonts w:ascii="Times New Roman" w:hAnsi="Times New Roman"/>
          <w:color w:val="000000"/>
          <w:sz w:val="28"/>
          <w:szCs w:val="28"/>
          <w:shd w:val="clear" w:color="auto" w:fill="FFFFFF"/>
          <w:lang w:eastAsia="ru-RU"/>
        </w:rPr>
        <w:t>Законодательство Российской Федерации, в том числе и Указ Президента России от 21.09.2022 «Об объявлении частичной мобилизации в Российской Федерации», не содержит запрета на мобилизацию граждан, участвующих в процедуре банкротства. Следовательно, в Вооруженные Силы РФ могут призвать с любыми долгами и кредитными обязательствами, в том числе и тех, кто уже находится в процессе признания себя банкротом.</w:t>
      </w:r>
    </w:p>
    <w:p w:rsidR="00481CEB" w:rsidRPr="00481CEB" w:rsidRDefault="00481CEB" w:rsidP="00481CEB">
      <w:pPr>
        <w:ind w:firstLine="567"/>
        <w:jc w:val="both"/>
        <w:rPr>
          <w:rFonts w:ascii="Times New Roman" w:hAnsi="Times New Roman"/>
          <w:color w:val="000000"/>
          <w:sz w:val="28"/>
          <w:szCs w:val="28"/>
          <w:lang w:eastAsia="ru-RU"/>
        </w:rPr>
      </w:pPr>
      <w:r w:rsidRPr="00481CEB">
        <w:rPr>
          <w:rFonts w:ascii="Times New Roman" w:hAnsi="Times New Roman"/>
          <w:color w:val="000000"/>
          <w:sz w:val="28"/>
          <w:szCs w:val="28"/>
          <w:lang w:eastAsia="ru-RU"/>
        </w:rPr>
        <w:t xml:space="preserve">Мобилизация предусматривает призыв военнообязанных граждан из запаса, зачисление их в состав воинских частей и организаций Вооруженных сил РФ. На период службы меняется правовой статус мобилизованного. Это влияет, в том числе, на участие в процедуре </w:t>
      </w:r>
      <w:proofErr w:type="gramStart"/>
      <w:r w:rsidRPr="00481CEB">
        <w:rPr>
          <w:rFonts w:ascii="Times New Roman" w:hAnsi="Times New Roman"/>
          <w:color w:val="000000"/>
          <w:sz w:val="28"/>
          <w:szCs w:val="28"/>
          <w:lang w:eastAsia="ru-RU"/>
        </w:rPr>
        <w:t>банкротства</w:t>
      </w:r>
      <w:proofErr w:type="gramEnd"/>
      <w:r w:rsidRPr="00481CEB">
        <w:rPr>
          <w:rFonts w:ascii="Times New Roman" w:hAnsi="Times New Roman"/>
          <w:color w:val="000000"/>
          <w:sz w:val="28"/>
          <w:szCs w:val="28"/>
          <w:lang w:eastAsia="ru-RU"/>
        </w:rPr>
        <w:t xml:space="preserve"> как со стороны должника, так и кредитора, финансового управляющего, участника торгов.</w:t>
      </w:r>
    </w:p>
    <w:p w:rsidR="00481CEB" w:rsidRPr="00481CEB" w:rsidRDefault="00481CEB" w:rsidP="00481CEB">
      <w:pPr>
        <w:shd w:val="clear" w:color="auto" w:fill="FFFFFF"/>
        <w:spacing w:before="192" w:after="192"/>
        <w:ind w:firstLine="567"/>
        <w:textAlignment w:val="baseline"/>
        <w:outlineLvl w:val="1"/>
        <w:rPr>
          <w:rFonts w:ascii="Times New Roman" w:eastAsia="Times New Roman" w:hAnsi="Times New Roman"/>
          <w:i/>
          <w:color w:val="000000"/>
          <w:sz w:val="28"/>
          <w:szCs w:val="28"/>
          <w:u w:val="single"/>
          <w:lang w:eastAsia="ru-RU"/>
        </w:rPr>
      </w:pPr>
      <w:r w:rsidRPr="00481CEB">
        <w:rPr>
          <w:rFonts w:ascii="Times New Roman" w:eastAsia="Times New Roman" w:hAnsi="Times New Roman"/>
          <w:i/>
          <w:color w:val="000000"/>
          <w:sz w:val="28"/>
          <w:szCs w:val="28"/>
          <w:u w:val="single"/>
          <w:lang w:eastAsia="ru-RU"/>
        </w:rPr>
        <w:t xml:space="preserve">Приостановят ли банкротство, если в отношении военнослужащего процедура банкротства была введена до его отправки </w:t>
      </w:r>
      <w:proofErr w:type="gramStart"/>
      <w:r w:rsidRPr="00481CEB">
        <w:rPr>
          <w:rFonts w:ascii="Times New Roman" w:eastAsia="Times New Roman" w:hAnsi="Times New Roman"/>
          <w:i/>
          <w:color w:val="000000"/>
          <w:sz w:val="28"/>
          <w:szCs w:val="28"/>
          <w:u w:val="single"/>
          <w:lang w:eastAsia="ru-RU"/>
        </w:rPr>
        <w:t>в место проведения</w:t>
      </w:r>
      <w:proofErr w:type="gramEnd"/>
      <w:r w:rsidRPr="00481CEB">
        <w:rPr>
          <w:rFonts w:ascii="Times New Roman" w:eastAsia="Times New Roman" w:hAnsi="Times New Roman"/>
          <w:i/>
          <w:color w:val="000000"/>
          <w:sz w:val="28"/>
          <w:szCs w:val="28"/>
          <w:u w:val="single"/>
          <w:lang w:eastAsia="ru-RU"/>
        </w:rPr>
        <w:t xml:space="preserve"> специальной военной операции?</w:t>
      </w:r>
    </w:p>
    <w:p w:rsidR="00481CEB" w:rsidRPr="00481CEB" w:rsidRDefault="00481CEB" w:rsidP="00481CEB">
      <w:pPr>
        <w:shd w:val="clear" w:color="auto" w:fill="FFFFFF"/>
        <w:ind w:firstLine="567"/>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color w:val="333333"/>
          <w:sz w:val="28"/>
          <w:szCs w:val="28"/>
          <w:lang w:eastAsia="ru-RU"/>
        </w:rPr>
        <w:lastRenderedPageBreak/>
        <w:t xml:space="preserve">Федеральный закон «О несостоятельности (банкротстве)» не содержит такого основания для приостановления процедуры банкротства. Однако, учитывая, что банкротство ведется по правилам Арбитражного судопроизводства, то в силу ст. 143 АПК РФ суд обязан приостановить судебные мероприятия, если гражданин находится в действующей части Вооруженных Сил РФ. </w:t>
      </w:r>
      <w:r w:rsidRPr="00481CEB">
        <w:rPr>
          <w:rFonts w:ascii="Times New Roman" w:eastAsia="Times New Roman" w:hAnsi="Times New Roman"/>
          <w:color w:val="000000"/>
          <w:sz w:val="28"/>
          <w:szCs w:val="28"/>
          <w:lang w:eastAsia="ru-RU"/>
        </w:rPr>
        <w:t xml:space="preserve">Важно понимать, что это приостановление, а не прекращение производства по делу о банкротстве. В период приостановления по делу могут проводиться необходимые действия финансовым управляющим, например, запрашиваться сведения о должнике (его имуществе) или осуществляться </w:t>
      </w:r>
      <w:proofErr w:type="gramStart"/>
      <w:r w:rsidRPr="00481CEB">
        <w:rPr>
          <w:rFonts w:ascii="Times New Roman" w:eastAsia="Times New Roman" w:hAnsi="Times New Roman"/>
          <w:color w:val="000000"/>
          <w:sz w:val="28"/>
          <w:szCs w:val="28"/>
          <w:lang w:eastAsia="ru-RU"/>
        </w:rPr>
        <w:t>контроль за</w:t>
      </w:r>
      <w:proofErr w:type="gramEnd"/>
      <w:r w:rsidRPr="00481CEB">
        <w:rPr>
          <w:rFonts w:ascii="Times New Roman" w:eastAsia="Times New Roman" w:hAnsi="Times New Roman"/>
          <w:color w:val="000000"/>
          <w:sz w:val="28"/>
          <w:szCs w:val="28"/>
          <w:lang w:eastAsia="ru-RU"/>
        </w:rPr>
        <w:t xml:space="preserve"> формированием реестра кредиторов.</w:t>
      </w:r>
    </w:p>
    <w:p w:rsidR="00481CEB" w:rsidRPr="00481CEB" w:rsidRDefault="00481CEB" w:rsidP="00481CEB">
      <w:pPr>
        <w:shd w:val="clear" w:color="auto" w:fill="FFFFFF"/>
        <w:ind w:firstLine="709"/>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В этой связи рекомендуем предпринять следующие шаги:</w:t>
      </w:r>
    </w:p>
    <w:p w:rsidR="00481CEB" w:rsidRPr="00481CEB" w:rsidRDefault="00481CEB" w:rsidP="00481CEB">
      <w:pPr>
        <w:numPr>
          <w:ilvl w:val="0"/>
          <w:numId w:val="1"/>
        </w:numPr>
        <w:shd w:val="clear" w:color="auto" w:fill="FFFFFF"/>
        <w:spacing w:before="75" w:after="180" w:line="256" w:lineRule="auto"/>
        <w:ind w:left="750" w:firstLine="567"/>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Подать ходатайство в арбитражный суд о приостановке дела о несостоятельности (банкротстве) с указанием причины, приложив подтверждающие документы от военного комиссариата.  Ходатайство   можно отнести в канцелярию суда или отправить по электронной почте.</w:t>
      </w:r>
    </w:p>
    <w:p w:rsidR="00481CEB" w:rsidRPr="00481CEB" w:rsidRDefault="00481CEB" w:rsidP="00481CEB">
      <w:pPr>
        <w:numPr>
          <w:ilvl w:val="0"/>
          <w:numId w:val="1"/>
        </w:numPr>
        <w:shd w:val="clear" w:color="auto" w:fill="FFFFFF"/>
        <w:spacing w:before="75" w:after="180" w:line="256" w:lineRule="auto"/>
        <w:ind w:left="750" w:firstLine="567"/>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Оформить доверенность на юриста или близкого человека, которая позволит от имени мобилизованного подавать ходатайство о приостановлении дела о банкротстве и другие документы.</w:t>
      </w:r>
    </w:p>
    <w:p w:rsidR="00481CEB" w:rsidRPr="00481CEB" w:rsidRDefault="00481CEB" w:rsidP="00481CEB">
      <w:pPr>
        <w:shd w:val="clear" w:color="auto" w:fill="FFFFFF"/>
        <w:spacing w:before="75" w:after="180"/>
        <w:ind w:firstLine="709"/>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i/>
          <w:color w:val="333333"/>
          <w:sz w:val="28"/>
          <w:szCs w:val="28"/>
          <w:u w:val="single"/>
          <w:lang w:eastAsia="ru-RU"/>
        </w:rPr>
        <w:t>Какие последствия, если призвали кредитора, финансового управляющего или участника торгов по банкротству?</w:t>
      </w:r>
    </w:p>
    <w:p w:rsidR="00481CEB" w:rsidRPr="00481CEB" w:rsidRDefault="00481CEB" w:rsidP="00481CEB">
      <w:pPr>
        <w:shd w:val="clear" w:color="auto" w:fill="FFFFFF"/>
        <w:spacing w:before="300" w:after="300"/>
        <w:ind w:firstLine="709"/>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Вполне вероятна ситуация, когда мобилизуют арбитражного управляющего или кредитора по делу о признании банкротом. И в этом случае законодательством предусмотрено ряд мер, при которых права сторон не будут нарушены:</w:t>
      </w:r>
    </w:p>
    <w:p w:rsidR="00481CEB" w:rsidRPr="00481CEB" w:rsidRDefault="00481CEB" w:rsidP="00481CEB">
      <w:pPr>
        <w:numPr>
          <w:ilvl w:val="0"/>
          <w:numId w:val="2"/>
        </w:numPr>
        <w:shd w:val="clear" w:color="auto" w:fill="FFFFFF"/>
        <w:spacing w:after="160" w:line="256" w:lineRule="auto"/>
        <w:ind w:left="240" w:firstLine="567"/>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Если мобилизованный — </w:t>
      </w:r>
      <w:r w:rsidRPr="00481CEB">
        <w:rPr>
          <w:rFonts w:ascii="Times New Roman" w:eastAsia="Times New Roman" w:hAnsi="Times New Roman"/>
          <w:b/>
          <w:bCs/>
          <w:color w:val="000000"/>
          <w:sz w:val="28"/>
          <w:szCs w:val="28"/>
          <w:bdr w:val="none" w:sz="0" w:space="0" w:color="auto" w:frame="1"/>
          <w:lang w:eastAsia="ru-RU"/>
        </w:rPr>
        <w:t>кредитор</w:t>
      </w:r>
      <w:r w:rsidRPr="00481CEB">
        <w:rPr>
          <w:rFonts w:ascii="Times New Roman" w:eastAsia="Times New Roman" w:hAnsi="Times New Roman"/>
          <w:color w:val="000000"/>
          <w:sz w:val="28"/>
          <w:szCs w:val="28"/>
          <w:lang w:eastAsia="ru-RU"/>
        </w:rPr>
        <w:t> (физическое лицо или индивидуальный предприниматель), то представление интересов он может поручить профессиональному юристу либо представителю по нотариальной доверенности с четко прописанными в ней полномочиями. Что касается денежных средств, то необходимо учитывать положение пункта 2 статьи 142 Федерального закона «О несостоятельности (банкротстве)» предусматривающие возможность внесения финансовым управляющим причитающейся кредитору суммы от реализации имущества банкрота на депозит нотариуса, если эти деньги невозможно начислить такому кредитору напрямую. Об этом действии кредитор должен быть проинформирован.</w:t>
      </w:r>
    </w:p>
    <w:p w:rsidR="00481CEB" w:rsidRPr="00481CEB" w:rsidRDefault="00481CEB" w:rsidP="00481CEB">
      <w:pPr>
        <w:shd w:val="clear" w:color="auto" w:fill="FFFFFF"/>
        <w:ind w:left="240" w:firstLine="567"/>
        <w:jc w:val="both"/>
        <w:textAlignment w:val="baseline"/>
        <w:rPr>
          <w:rFonts w:ascii="Times New Roman" w:eastAsia="Times New Roman" w:hAnsi="Times New Roman"/>
          <w:color w:val="000000"/>
          <w:sz w:val="28"/>
          <w:szCs w:val="28"/>
          <w:lang w:eastAsia="ru-RU"/>
        </w:rPr>
      </w:pPr>
    </w:p>
    <w:p w:rsidR="00481CEB" w:rsidRPr="00481CEB" w:rsidRDefault="00481CEB" w:rsidP="00481CEB">
      <w:pPr>
        <w:numPr>
          <w:ilvl w:val="0"/>
          <w:numId w:val="2"/>
        </w:numPr>
        <w:shd w:val="clear" w:color="auto" w:fill="FFFFFF"/>
        <w:spacing w:after="160" w:line="256" w:lineRule="auto"/>
        <w:ind w:left="240" w:firstLine="567"/>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Если мобилизованный — </w:t>
      </w:r>
      <w:r w:rsidRPr="00481CEB">
        <w:rPr>
          <w:rFonts w:ascii="Times New Roman" w:eastAsia="Times New Roman" w:hAnsi="Times New Roman"/>
          <w:b/>
          <w:bCs/>
          <w:color w:val="000000"/>
          <w:sz w:val="28"/>
          <w:szCs w:val="28"/>
          <w:bdr w:val="none" w:sz="0" w:space="0" w:color="auto" w:frame="1"/>
          <w:lang w:eastAsia="ru-RU"/>
        </w:rPr>
        <w:t xml:space="preserve">участник торгов по </w:t>
      </w:r>
      <w:proofErr w:type="spellStart"/>
      <w:r w:rsidRPr="00481CEB">
        <w:rPr>
          <w:rFonts w:ascii="Times New Roman" w:eastAsia="Times New Roman" w:hAnsi="Times New Roman"/>
          <w:b/>
          <w:bCs/>
          <w:color w:val="000000"/>
          <w:sz w:val="28"/>
          <w:szCs w:val="28"/>
          <w:bdr w:val="none" w:sz="0" w:space="0" w:color="auto" w:frame="1"/>
          <w:lang w:eastAsia="ru-RU"/>
        </w:rPr>
        <w:t>банкротному</w:t>
      </w:r>
      <w:proofErr w:type="spellEnd"/>
      <w:r w:rsidRPr="00481CEB">
        <w:rPr>
          <w:rFonts w:ascii="Times New Roman" w:eastAsia="Times New Roman" w:hAnsi="Times New Roman"/>
          <w:b/>
          <w:bCs/>
          <w:color w:val="000000"/>
          <w:sz w:val="28"/>
          <w:szCs w:val="28"/>
          <w:bdr w:val="none" w:sz="0" w:space="0" w:color="auto" w:frame="1"/>
          <w:lang w:eastAsia="ru-RU"/>
        </w:rPr>
        <w:t xml:space="preserve"> делу</w:t>
      </w:r>
      <w:r w:rsidRPr="00481CEB">
        <w:rPr>
          <w:rFonts w:ascii="Times New Roman" w:eastAsia="Times New Roman" w:hAnsi="Times New Roman"/>
          <w:color w:val="000000"/>
          <w:sz w:val="28"/>
          <w:szCs w:val="28"/>
          <w:lang w:eastAsia="ru-RU"/>
        </w:rPr>
        <w:t xml:space="preserve">, то за неисполнение (либо ненадлежащее выполнение) своих </w:t>
      </w:r>
      <w:r w:rsidRPr="00481CEB">
        <w:rPr>
          <w:rFonts w:ascii="Times New Roman" w:eastAsia="Times New Roman" w:hAnsi="Times New Roman"/>
          <w:color w:val="000000"/>
          <w:sz w:val="28"/>
          <w:szCs w:val="28"/>
          <w:lang w:eastAsia="ru-RU"/>
        </w:rPr>
        <w:lastRenderedPageBreak/>
        <w:t xml:space="preserve">обязательств ответственность для него не наступает в соответствии со </w:t>
      </w:r>
      <w:r w:rsidRPr="00481CEB">
        <w:rPr>
          <w:rFonts w:ascii="Times New Roman" w:hAnsi="Times New Roman"/>
          <w:sz w:val="28"/>
          <w:szCs w:val="28"/>
          <w:lang w:eastAsia="ru-RU"/>
        </w:rPr>
        <w:t>статьей 416</w:t>
      </w:r>
      <w:r w:rsidRPr="00481CEB">
        <w:rPr>
          <w:rFonts w:ascii="Times New Roman" w:eastAsia="Times New Roman" w:hAnsi="Times New Roman"/>
          <w:color w:val="000000"/>
          <w:sz w:val="28"/>
          <w:szCs w:val="28"/>
          <w:lang w:eastAsia="ru-RU"/>
        </w:rPr>
        <w:t> Гражданского кодекса Российской Федерации. При этом </w:t>
      </w:r>
      <w:r w:rsidRPr="00481CEB">
        <w:rPr>
          <w:rFonts w:ascii="Times New Roman" w:hAnsi="Times New Roman"/>
          <w:sz w:val="28"/>
          <w:szCs w:val="28"/>
          <w:lang w:eastAsia="ru-RU"/>
        </w:rPr>
        <w:t>статья 381 Гражданского кодекса РФ</w:t>
      </w:r>
      <w:r w:rsidRPr="00481CEB">
        <w:rPr>
          <w:rFonts w:ascii="Times New Roman" w:eastAsia="Times New Roman" w:hAnsi="Times New Roman"/>
          <w:color w:val="000000"/>
          <w:sz w:val="28"/>
          <w:szCs w:val="28"/>
          <w:lang w:eastAsia="ru-RU"/>
        </w:rPr>
        <w:t> обязывает вернуть внесенный задаток. Кроме того, для участника торгов, призванного в действующую армию, имеется также возможность воспользоваться помощью своего представителя, оформив надлежащим образом доверенность.</w:t>
      </w:r>
    </w:p>
    <w:p w:rsidR="00481CEB" w:rsidRPr="00481CEB" w:rsidRDefault="00481CEB" w:rsidP="00481CEB">
      <w:pPr>
        <w:numPr>
          <w:ilvl w:val="0"/>
          <w:numId w:val="2"/>
        </w:numPr>
        <w:shd w:val="clear" w:color="auto" w:fill="FFFFFF"/>
        <w:spacing w:before="300" w:after="300" w:line="256" w:lineRule="auto"/>
        <w:ind w:left="240" w:firstLine="567"/>
        <w:jc w:val="both"/>
        <w:textAlignment w:val="baseline"/>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Если мобилизованный — </w:t>
      </w:r>
      <w:r w:rsidRPr="00481CEB">
        <w:rPr>
          <w:rFonts w:ascii="Times New Roman" w:eastAsia="Times New Roman" w:hAnsi="Times New Roman"/>
          <w:b/>
          <w:bCs/>
          <w:color w:val="000000"/>
          <w:sz w:val="28"/>
          <w:szCs w:val="28"/>
          <w:bdr w:val="none" w:sz="0" w:space="0" w:color="auto" w:frame="1"/>
          <w:lang w:eastAsia="ru-RU"/>
        </w:rPr>
        <w:t>финансовый управляющий</w:t>
      </w:r>
      <w:r w:rsidRPr="00481CEB">
        <w:rPr>
          <w:rFonts w:ascii="Times New Roman" w:eastAsia="Times New Roman" w:hAnsi="Times New Roman"/>
          <w:color w:val="000000"/>
          <w:sz w:val="28"/>
          <w:szCs w:val="28"/>
          <w:lang w:eastAsia="ru-RU"/>
        </w:rPr>
        <w:t>, то ему необходимо ходатайствовать перед арбитражным судьей о снятии возложенных обязанностей на основании </w:t>
      </w:r>
      <w:r w:rsidRPr="00481CEB">
        <w:rPr>
          <w:rFonts w:ascii="Times New Roman" w:hAnsi="Times New Roman"/>
          <w:sz w:val="28"/>
          <w:szCs w:val="28"/>
          <w:lang w:eastAsia="ru-RU"/>
        </w:rPr>
        <w:t>пункта 1 статьи 20.3</w:t>
      </w:r>
      <w:r w:rsidRPr="00481CEB">
        <w:rPr>
          <w:rFonts w:ascii="Times New Roman" w:eastAsia="Times New Roman" w:hAnsi="Times New Roman"/>
          <w:color w:val="000000"/>
          <w:sz w:val="28"/>
          <w:szCs w:val="28"/>
          <w:lang w:eastAsia="ru-RU"/>
        </w:rPr>
        <w:t> Федерального закона «О несостоятельности (банкротстве)». Если управляющий не успел это сделать, то подать ходатайство в его интересах может СРО (саморегулируемая организация), членом которой он является. После чего произойдет замена на его коллегу из той же СРО.</w:t>
      </w:r>
    </w:p>
    <w:p w:rsidR="00481CEB" w:rsidRPr="00481CEB" w:rsidRDefault="00481CEB" w:rsidP="00481CEB">
      <w:pPr>
        <w:spacing w:before="405" w:after="300"/>
        <w:ind w:firstLine="709"/>
        <w:jc w:val="both"/>
        <w:outlineLvl w:val="2"/>
        <w:rPr>
          <w:rFonts w:ascii="Times New Roman" w:eastAsia="Times New Roman" w:hAnsi="Times New Roman"/>
          <w:i/>
          <w:color w:val="000000"/>
          <w:sz w:val="28"/>
          <w:szCs w:val="28"/>
          <w:u w:val="single"/>
          <w:lang w:eastAsia="ru-RU"/>
        </w:rPr>
      </w:pPr>
      <w:r w:rsidRPr="00481CEB">
        <w:rPr>
          <w:rFonts w:ascii="Times New Roman" w:eastAsia="Times New Roman" w:hAnsi="Times New Roman"/>
          <w:i/>
          <w:color w:val="000000"/>
          <w:sz w:val="28"/>
          <w:szCs w:val="28"/>
          <w:u w:val="single"/>
          <w:lang w:eastAsia="ru-RU"/>
        </w:rPr>
        <w:t>Можно ли подать на банкротство после призыва по мобилизации?</w:t>
      </w:r>
    </w:p>
    <w:p w:rsidR="00481CEB" w:rsidRPr="00481CEB" w:rsidRDefault="00481CEB" w:rsidP="00481CEB">
      <w:pPr>
        <w:spacing w:before="405" w:after="300"/>
        <w:ind w:firstLine="709"/>
        <w:jc w:val="both"/>
        <w:outlineLvl w:val="2"/>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 xml:space="preserve">Во время частичной мобилизации на банкротство может подать как сам должник или его представитель по доверенности, так и кредитор. Мораторий на возбуждение </w:t>
      </w:r>
      <w:proofErr w:type="spellStart"/>
      <w:r w:rsidRPr="00481CEB">
        <w:rPr>
          <w:rFonts w:ascii="Times New Roman" w:eastAsia="Times New Roman" w:hAnsi="Times New Roman"/>
          <w:color w:val="000000"/>
          <w:sz w:val="28"/>
          <w:szCs w:val="28"/>
          <w:lang w:eastAsia="ru-RU"/>
        </w:rPr>
        <w:t>банкротных</w:t>
      </w:r>
      <w:proofErr w:type="spellEnd"/>
      <w:r w:rsidRPr="00481CEB">
        <w:rPr>
          <w:rFonts w:ascii="Times New Roman" w:eastAsia="Times New Roman" w:hAnsi="Times New Roman"/>
          <w:color w:val="000000"/>
          <w:sz w:val="28"/>
          <w:szCs w:val="28"/>
          <w:lang w:eastAsia="ru-RU"/>
        </w:rPr>
        <w:t xml:space="preserve"> процедур по заявлениям кредиторов, введенный с 1 апреля 2022 года, не действует со 2 октября 2022 года. Следовательно, нет никаких препятствий для подачи заявлений и документов в арбитражный суд, даже если должник получил повестку или фактически убыл для прохождения службы. Арбитражный суд примет и рассмотрит документы, но будет обязан приостановить производство по делу. Дальнейший ход дела зависит от того, когда мобилизованный будет исключен из состава действующей части Вооруженных сил РФ. </w:t>
      </w:r>
    </w:p>
    <w:p w:rsidR="00481CEB" w:rsidRPr="00481CEB" w:rsidRDefault="00481CEB" w:rsidP="00481CEB">
      <w:pPr>
        <w:spacing w:before="405" w:after="300"/>
        <w:ind w:firstLine="709"/>
        <w:jc w:val="both"/>
        <w:outlineLvl w:val="2"/>
        <w:rPr>
          <w:rFonts w:ascii="Times New Roman" w:eastAsia="Times New Roman" w:hAnsi="Times New Roman"/>
          <w:color w:val="000000"/>
          <w:sz w:val="28"/>
          <w:szCs w:val="28"/>
          <w:lang w:eastAsia="ru-RU"/>
        </w:rPr>
      </w:pPr>
      <w:r w:rsidRPr="00481CEB">
        <w:rPr>
          <w:rFonts w:ascii="Times New Roman" w:eastAsia="Times New Roman" w:hAnsi="Times New Roman"/>
          <w:i/>
          <w:color w:val="000000"/>
          <w:sz w:val="28"/>
          <w:szCs w:val="28"/>
          <w:u w:val="single"/>
          <w:lang w:eastAsia="ru-RU"/>
        </w:rPr>
        <w:t>Подлежат ли включению в конкурсную массу выплаты мобилизованным?</w:t>
      </w:r>
    </w:p>
    <w:p w:rsidR="00481CEB" w:rsidRPr="00481CEB" w:rsidRDefault="00481CEB" w:rsidP="00481CEB">
      <w:pPr>
        <w:ind w:firstLine="709"/>
        <w:jc w:val="both"/>
        <w:outlineLvl w:val="2"/>
        <w:rPr>
          <w:rFonts w:ascii="Times New Roman" w:eastAsia="Times New Roman" w:hAnsi="Times New Roman"/>
          <w:color w:val="000000"/>
          <w:sz w:val="28"/>
          <w:szCs w:val="28"/>
          <w:lang w:eastAsia="ru-RU"/>
        </w:rPr>
      </w:pPr>
      <w:r w:rsidRPr="00481CEB">
        <w:rPr>
          <w:rFonts w:ascii="Times New Roman" w:eastAsia="Times New Roman" w:hAnsi="Times New Roman"/>
          <w:color w:val="000000"/>
          <w:sz w:val="28"/>
          <w:szCs w:val="28"/>
          <w:lang w:eastAsia="ru-RU"/>
        </w:rPr>
        <w:t xml:space="preserve">Каждому призванному в ряды Вооруженных сил РФ военнослужащему начисляется ежемесячное денежное довольствие. Кроме того, в зависимости от должности, выполняемых армейских функций, рода войск, конкретных условий прохождения службы добавляются премии, надбавки, прочие предусмотренные начисления. Все эти средства с правовой точки зрения приравниваются к заработной плате, доходу. То есть для выплаты долговых обязательств должников, попавших в армию по мобилизации, допускается взыскание в пользу кредиторов средств из денежного довольствия военнослужащего. Однако Арбитражные суды ряда регионов России начали исключать из конкурсной массы физических лиц – банкротов выплаты, которые они получили за участие в специальной военной операции на Украине. Так, военнослужащий, ранее признанный несостоятельным </w:t>
      </w:r>
      <w:r w:rsidRPr="00481CEB">
        <w:rPr>
          <w:rFonts w:ascii="Times New Roman" w:eastAsia="Times New Roman" w:hAnsi="Times New Roman"/>
          <w:color w:val="000000"/>
          <w:sz w:val="28"/>
          <w:szCs w:val="28"/>
          <w:lang w:eastAsia="ru-RU"/>
        </w:rPr>
        <w:lastRenderedPageBreak/>
        <w:t xml:space="preserve">(банкротом), обратился в суд с заявлением об исключении из конкурсной массы выплат за участие в спецоперации. Постановлением Семнадцатого арбитражного апелляционного суда от 08.09.2022 (по делу А60-68622/2021) ходатайство должника удовлетворено. </w:t>
      </w:r>
    </w:p>
    <w:p w:rsidR="00481CEB" w:rsidRPr="00481CEB" w:rsidRDefault="00481CEB" w:rsidP="00481CEB">
      <w:pPr>
        <w:ind w:firstLine="709"/>
        <w:jc w:val="both"/>
        <w:outlineLvl w:val="2"/>
        <w:rPr>
          <w:rFonts w:ascii="Times New Roman" w:hAnsi="Times New Roman"/>
          <w:sz w:val="28"/>
          <w:szCs w:val="28"/>
          <w:lang w:eastAsia="ru-RU"/>
        </w:rPr>
      </w:pPr>
      <w:r w:rsidRPr="00481CEB">
        <w:rPr>
          <w:rFonts w:ascii="Times New Roman" w:hAnsi="Times New Roman"/>
          <w:sz w:val="28"/>
          <w:szCs w:val="28"/>
          <w:lang w:eastAsia="ru-RU"/>
        </w:rPr>
        <w:t xml:space="preserve">«Выплаты направлены на восстановление здоровья, поддержание и обеспечение жизнедеятельности военнослужащего, исполнявшего свои служебные обязанности на территории иностранного государства. </w:t>
      </w:r>
      <w:proofErr w:type="gramStart"/>
      <w:r w:rsidRPr="00481CEB">
        <w:rPr>
          <w:rFonts w:ascii="Times New Roman" w:hAnsi="Times New Roman"/>
          <w:sz w:val="28"/>
          <w:szCs w:val="28"/>
          <w:lang w:eastAsia="ru-RU"/>
        </w:rPr>
        <w:t>Исходя из того, что соответствующие выплаты были произведены, принимая во внимание соотношение размера требований кредиторов и размера компенсационной социальной выплаты, учитывая баланс интересов между должником и его кредиторами, личными правами должника, в том числе его правами на достойную жизнь и достоинство личности, судебная коллегия приходит к выводу, что названные выплаты не подлежат включению в конкурсную массу должника и не могут</w:t>
      </w:r>
      <w:proofErr w:type="gramEnd"/>
      <w:r w:rsidRPr="00481CEB">
        <w:rPr>
          <w:rFonts w:ascii="Times New Roman" w:hAnsi="Times New Roman"/>
          <w:sz w:val="28"/>
          <w:szCs w:val="28"/>
          <w:lang w:eastAsia="ru-RU"/>
        </w:rPr>
        <w:t xml:space="preserve"> учитываться при определении имущества гражданина в порядке применения пункта 2 статьи 213.25 Закона о банкротстве. Следовательно, указанная выплата также подлежит исключению из конкурсной массы должника», </w:t>
      </w:r>
      <w:r w:rsidRPr="00481CEB">
        <w:rPr>
          <w:rFonts w:ascii="Times New Roman" w:eastAsia="Times New Roman" w:hAnsi="Times New Roman"/>
          <w:color w:val="000000"/>
          <w:sz w:val="28"/>
          <w:szCs w:val="28"/>
          <w:lang w:eastAsia="ru-RU"/>
        </w:rPr>
        <w:t>–</w:t>
      </w:r>
      <w:r w:rsidRPr="00481CEB">
        <w:rPr>
          <w:rFonts w:ascii="Times New Roman" w:hAnsi="Times New Roman"/>
          <w:sz w:val="28"/>
          <w:szCs w:val="28"/>
          <w:lang w:eastAsia="ru-RU"/>
        </w:rPr>
        <w:t xml:space="preserve"> заключил суд.</w:t>
      </w:r>
    </w:p>
    <w:p w:rsidR="00481CEB" w:rsidRPr="00481CEB" w:rsidRDefault="00481CEB" w:rsidP="00481CEB">
      <w:pPr>
        <w:ind w:firstLine="709"/>
        <w:jc w:val="both"/>
        <w:outlineLvl w:val="2"/>
        <w:rPr>
          <w:rFonts w:ascii="Times New Roman" w:hAnsi="Times New Roman"/>
          <w:sz w:val="28"/>
          <w:szCs w:val="28"/>
          <w:lang w:eastAsia="ru-RU"/>
        </w:rPr>
      </w:pPr>
    </w:p>
    <w:p w:rsidR="00481CEB" w:rsidRPr="00481CEB" w:rsidRDefault="00481CEB" w:rsidP="00481CEB">
      <w:pPr>
        <w:ind w:firstLine="567"/>
        <w:jc w:val="both"/>
        <w:rPr>
          <w:rFonts w:ascii="Times New Roman" w:hAnsi="Times New Roman"/>
          <w:b/>
          <w:sz w:val="28"/>
          <w:szCs w:val="28"/>
        </w:rPr>
      </w:pPr>
      <w:r w:rsidRPr="00481CEB">
        <w:rPr>
          <w:rFonts w:ascii="Times New Roman" w:hAnsi="Times New Roman"/>
          <w:b/>
          <w:sz w:val="28"/>
          <w:szCs w:val="28"/>
        </w:rPr>
        <w:t xml:space="preserve">Настоящим и будущим владельцам недвижимости эксперты рассказали о важности процедуры государственного кадастрового учета и зонах с особыми условиями использования территорий </w:t>
      </w:r>
    </w:p>
    <w:p w:rsidR="00481CEB" w:rsidRPr="00481CEB" w:rsidRDefault="00481CEB" w:rsidP="00481CEB">
      <w:pPr>
        <w:ind w:firstLine="567"/>
        <w:jc w:val="both"/>
        <w:rPr>
          <w:rFonts w:ascii="Times New Roman" w:hAnsi="Times New Roman"/>
          <w:sz w:val="28"/>
          <w:szCs w:val="28"/>
        </w:rPr>
      </w:pPr>
    </w:p>
    <w:p w:rsidR="00481CEB" w:rsidRPr="00481CEB" w:rsidRDefault="00481CEB" w:rsidP="00481CEB">
      <w:pPr>
        <w:ind w:firstLine="567"/>
        <w:jc w:val="both"/>
        <w:rPr>
          <w:rFonts w:ascii="Times New Roman" w:hAnsi="Times New Roman"/>
          <w:sz w:val="28"/>
          <w:szCs w:val="28"/>
        </w:rPr>
      </w:pPr>
      <w:proofErr w:type="gramStart"/>
      <w:r w:rsidRPr="00481CEB">
        <w:rPr>
          <w:rFonts w:ascii="Times New Roman" w:hAnsi="Times New Roman"/>
          <w:sz w:val="28"/>
          <w:szCs w:val="28"/>
        </w:rPr>
        <w:t xml:space="preserve">В обсуждении вопроса в рамках пресс-конференции, которая состоялась 13 апреля 2023 года в областном Доме журналистов, приняли участие эксперты – заместитель начальника отдела государственной регистрации недвижимости Управления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по Омской области Наталья Абдуразакова, начальник отдела инфраструктуры пространственных данных филиала ППК «</w:t>
      </w:r>
      <w:proofErr w:type="spellStart"/>
      <w:r w:rsidRPr="00481CEB">
        <w:rPr>
          <w:rFonts w:ascii="Times New Roman" w:hAnsi="Times New Roman"/>
          <w:sz w:val="28"/>
          <w:szCs w:val="28"/>
        </w:rPr>
        <w:t>Роскадастр</w:t>
      </w:r>
      <w:proofErr w:type="spellEnd"/>
      <w:r w:rsidRPr="00481CEB">
        <w:rPr>
          <w:rFonts w:ascii="Times New Roman" w:hAnsi="Times New Roman"/>
          <w:sz w:val="28"/>
          <w:szCs w:val="28"/>
        </w:rPr>
        <w:t xml:space="preserve">» по Омской области Ольга </w:t>
      </w:r>
      <w:proofErr w:type="spellStart"/>
      <w:r w:rsidRPr="00481CEB">
        <w:rPr>
          <w:rFonts w:ascii="Times New Roman" w:hAnsi="Times New Roman"/>
          <w:sz w:val="28"/>
          <w:szCs w:val="28"/>
        </w:rPr>
        <w:t>Шиберт</w:t>
      </w:r>
      <w:proofErr w:type="spellEnd"/>
      <w:r w:rsidRPr="00481CEB">
        <w:rPr>
          <w:rFonts w:ascii="Times New Roman" w:hAnsi="Times New Roman"/>
          <w:sz w:val="28"/>
          <w:szCs w:val="28"/>
        </w:rPr>
        <w:t xml:space="preserve"> и кадастровый инженер ООО «МБ-Недвижимость» Александр </w:t>
      </w:r>
      <w:proofErr w:type="spellStart"/>
      <w:r w:rsidRPr="00481CEB">
        <w:rPr>
          <w:rFonts w:ascii="Times New Roman" w:hAnsi="Times New Roman"/>
          <w:sz w:val="28"/>
          <w:szCs w:val="28"/>
        </w:rPr>
        <w:t>Махт</w:t>
      </w:r>
      <w:proofErr w:type="spellEnd"/>
      <w:r w:rsidRPr="00481CEB">
        <w:rPr>
          <w:rFonts w:ascii="Times New Roman" w:hAnsi="Times New Roman"/>
          <w:sz w:val="28"/>
          <w:szCs w:val="28"/>
        </w:rPr>
        <w:t>.</w:t>
      </w:r>
      <w:proofErr w:type="gramEnd"/>
    </w:p>
    <w:p w:rsidR="00481CEB" w:rsidRPr="00481CEB" w:rsidRDefault="00481CEB" w:rsidP="00481CEB">
      <w:pPr>
        <w:ind w:firstLine="567"/>
        <w:jc w:val="both"/>
        <w:rPr>
          <w:rFonts w:ascii="Times New Roman" w:hAnsi="Times New Roman"/>
          <w:sz w:val="28"/>
          <w:szCs w:val="28"/>
        </w:rPr>
      </w:pPr>
      <w:proofErr w:type="gramStart"/>
      <w:r w:rsidRPr="00481CEB">
        <w:rPr>
          <w:rFonts w:ascii="Times New Roman" w:hAnsi="Times New Roman"/>
          <w:sz w:val="28"/>
          <w:szCs w:val="28"/>
        </w:rPr>
        <w:t xml:space="preserve">Согласно части 7 статьи 1 Закона N 218-ФЗ «О государственной регистрации недвижимости» государственный кадастровый учет недвижимого имущества – это внесение в Единый государственный реестр недвижимости (ЕГРН) сведений о земельных участках, зданиях, сооружениях, помещениях, </w:t>
      </w:r>
      <w:proofErr w:type="spellStart"/>
      <w:r w:rsidRPr="00481CEB">
        <w:rPr>
          <w:rFonts w:ascii="Times New Roman" w:hAnsi="Times New Roman"/>
          <w:sz w:val="28"/>
          <w:szCs w:val="28"/>
        </w:rPr>
        <w:t>машино</w:t>
      </w:r>
      <w:proofErr w:type="spellEnd"/>
      <w:r w:rsidRPr="00481CEB">
        <w:rPr>
          <w:rFonts w:ascii="Times New Roman" w:hAnsi="Times New Roman"/>
          <w:sz w:val="28"/>
          <w:szCs w:val="28"/>
        </w:rPr>
        <w:t>-местах, об объектах незавершенного строительства, о единых недвижимых комплексах,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w:t>
      </w:r>
      <w:proofErr w:type="gramEnd"/>
      <w:r w:rsidRPr="00481CEB">
        <w:rPr>
          <w:rFonts w:ascii="Times New Roman" w:hAnsi="Times New Roman"/>
          <w:sz w:val="28"/>
          <w:szCs w:val="28"/>
        </w:rPr>
        <w:t xml:space="preserve"> существования, а также иных предусмотренных Законом N 218-ФЗ сведений об объектах недвижимости. При этом уникальным идентификатором каждого объекта недвижимости является его 12-значный кадастровый номер. </w:t>
      </w:r>
    </w:p>
    <w:p w:rsidR="00481CEB" w:rsidRPr="00481CEB" w:rsidRDefault="00481CEB" w:rsidP="00481CEB">
      <w:pPr>
        <w:ind w:firstLine="567"/>
        <w:jc w:val="both"/>
        <w:rPr>
          <w:rFonts w:ascii="Times New Roman" w:hAnsi="Times New Roman"/>
          <w:i/>
          <w:sz w:val="28"/>
          <w:szCs w:val="28"/>
        </w:rPr>
      </w:pPr>
      <w:r w:rsidRPr="00481CEB">
        <w:rPr>
          <w:rFonts w:ascii="Times New Roman" w:hAnsi="Times New Roman"/>
          <w:i/>
          <w:sz w:val="28"/>
          <w:szCs w:val="28"/>
        </w:rPr>
        <w:t xml:space="preserve">«Ранее государственный кадастровый учет осуществлялся только в отношении земельных участков, по другим объектам недвижимости органами БТИ проводилась техническая инвентаризация. В 2007 году вступил в силу федеральный закон «О государственном кадастре </w:t>
      </w:r>
      <w:r w:rsidRPr="00481CEB">
        <w:rPr>
          <w:rFonts w:ascii="Times New Roman" w:hAnsi="Times New Roman"/>
          <w:i/>
          <w:sz w:val="28"/>
          <w:szCs w:val="28"/>
        </w:rPr>
        <w:lastRenderedPageBreak/>
        <w:t xml:space="preserve">недвижимости», который расширил список подлежащих кадастровому учету объектов. В их число вошли здания, сооружения, жилые и нежилые помещения. Иными словами, данные обо всех объектах, которые по Гражданскому кодексу неразрывно связаны с землей и несут в себе признаки объекта недвижимости, теперь должны подлежать обязательному внесению в Единый государственный реестр недвижимости и учитываться государством. Особое значение в процессе регистрации объекта имеет его кадастровый номер, который состоит из 12 цифр, где первые две цифры – это номер региона. Кадастровый номер присваивается органом регистрации прав при внесении сведений об объекте в ЕГРН и является уникальным, так как не повторяется во времени и на территории Российской Федерации. Он характеризует полностью объект недвижимости, который гражданин либо приобретает, либо создает», - рассказала Наталья Абдуразакова. </w:t>
      </w:r>
    </w:p>
    <w:p w:rsidR="00481CEB" w:rsidRPr="00481CEB" w:rsidRDefault="00481CEB" w:rsidP="00481CEB">
      <w:pPr>
        <w:ind w:firstLine="567"/>
        <w:jc w:val="both"/>
        <w:rPr>
          <w:rFonts w:ascii="Times New Roman" w:hAnsi="Times New Roman"/>
          <w:sz w:val="28"/>
          <w:szCs w:val="28"/>
        </w:rPr>
      </w:pPr>
      <w:r w:rsidRPr="00481CEB">
        <w:rPr>
          <w:rFonts w:ascii="Times New Roman" w:hAnsi="Times New Roman"/>
          <w:sz w:val="28"/>
          <w:szCs w:val="28"/>
        </w:rPr>
        <w:t xml:space="preserve">Также представитель регистрирующего органа отметила, что кадастровый учет объектов недвижимости неразрывно связан с правами на них, поэтому был принят Федеральный   закон   от 13.07.2015 № 218-ФЗ «О государственной регистрации недвижимости» и создан Единый государственный реестр недвижимости. Указанный Закон </w:t>
      </w:r>
      <w:proofErr w:type="gramStart"/>
      <w:r w:rsidRPr="00481CEB">
        <w:rPr>
          <w:rFonts w:ascii="Times New Roman" w:hAnsi="Times New Roman"/>
          <w:sz w:val="28"/>
          <w:szCs w:val="28"/>
        </w:rPr>
        <w:t>предусмотрел</w:t>
      </w:r>
      <w:proofErr w:type="gramEnd"/>
      <w:r w:rsidRPr="00481CEB">
        <w:rPr>
          <w:rFonts w:ascii="Times New Roman" w:hAnsi="Times New Roman"/>
          <w:sz w:val="28"/>
          <w:szCs w:val="28"/>
        </w:rPr>
        <w:t xml:space="preserve"> в том числе и возможность осуществления </w:t>
      </w:r>
      <w:proofErr w:type="spellStart"/>
      <w:r w:rsidRPr="00481CEB">
        <w:rPr>
          <w:rFonts w:ascii="Times New Roman" w:hAnsi="Times New Roman"/>
          <w:sz w:val="28"/>
          <w:szCs w:val="28"/>
        </w:rPr>
        <w:t>Росреестром</w:t>
      </w:r>
      <w:proofErr w:type="spellEnd"/>
      <w:r w:rsidRPr="00481CEB">
        <w:rPr>
          <w:rFonts w:ascii="Times New Roman" w:hAnsi="Times New Roman"/>
          <w:sz w:val="28"/>
          <w:szCs w:val="28"/>
        </w:rPr>
        <w:t xml:space="preserve"> единой процедуры государственного кадастрового учета и регистрации прав – в случае создания объекта недвижимости (строительство), а также снятия с учета и прекращения прав в связи с утратой объекта (был снесен либо сгорел). При этом любые сведения в ЕГРН вносятся органом регистрации исключительно на основании заявления правообладателя, либо уполномоченного органа государственной власти, либо иного заинтересованного лица. </w:t>
      </w:r>
    </w:p>
    <w:p w:rsidR="00481CEB" w:rsidRPr="00481CEB" w:rsidRDefault="00481CEB" w:rsidP="00481CEB">
      <w:pPr>
        <w:ind w:firstLine="567"/>
        <w:jc w:val="both"/>
        <w:rPr>
          <w:rFonts w:ascii="Times New Roman" w:hAnsi="Times New Roman"/>
          <w:sz w:val="28"/>
          <w:szCs w:val="28"/>
        </w:rPr>
      </w:pPr>
      <w:r w:rsidRPr="00481CEB">
        <w:rPr>
          <w:rFonts w:ascii="Times New Roman" w:hAnsi="Times New Roman"/>
          <w:sz w:val="28"/>
          <w:szCs w:val="28"/>
        </w:rPr>
        <w:t xml:space="preserve">Главным основанием для постановки или снятия с государственного кадастрового учета объекта недвижимости, помимо заявления, является техническая документация, которую готовит кадастровый инженер. О роли кадастрового инженера при осуществлении кадастрового учета рассказал кадастровый инженер ООО «МБ-Недвижимость» Александр </w:t>
      </w:r>
      <w:proofErr w:type="spellStart"/>
      <w:r w:rsidRPr="00481CEB">
        <w:rPr>
          <w:rFonts w:ascii="Times New Roman" w:hAnsi="Times New Roman"/>
          <w:sz w:val="28"/>
          <w:szCs w:val="28"/>
        </w:rPr>
        <w:t>Махт</w:t>
      </w:r>
      <w:proofErr w:type="spellEnd"/>
      <w:r w:rsidRPr="00481CEB">
        <w:rPr>
          <w:rFonts w:ascii="Times New Roman" w:hAnsi="Times New Roman"/>
          <w:sz w:val="28"/>
          <w:szCs w:val="28"/>
        </w:rPr>
        <w:t xml:space="preserve">: </w:t>
      </w:r>
    </w:p>
    <w:p w:rsidR="00481CEB" w:rsidRPr="00481CEB" w:rsidRDefault="00481CEB" w:rsidP="00481CEB">
      <w:pPr>
        <w:ind w:firstLine="567"/>
        <w:jc w:val="both"/>
        <w:rPr>
          <w:rFonts w:ascii="Times New Roman" w:hAnsi="Times New Roman"/>
          <w:i/>
          <w:sz w:val="28"/>
          <w:szCs w:val="28"/>
        </w:rPr>
      </w:pPr>
      <w:r w:rsidRPr="00481CEB">
        <w:rPr>
          <w:rFonts w:ascii="Times New Roman" w:hAnsi="Times New Roman"/>
          <w:i/>
          <w:sz w:val="28"/>
          <w:szCs w:val="28"/>
        </w:rPr>
        <w:t xml:space="preserve">«При проведении процедуры кадастрового учета кадастровый инженер осуществляет сопряженную функцию. Это квалифицированные специалисты, которые находятся в постоянном взаимодействии с органом, осуществляющим государственный кадастровый учет и государственную регистрацию прав, и подготавливают технические документы, необходимые для осуществления данной процедуры. В силу действующего закона «О кадастровой деятельности» к таким документам относятся: относительно земельных участков – межевой план, относительно объектов капитального строительства – технический план, относительно объектов, которые утратили свое существование, – акты обследования. При подготовке данных документов проводится ряд работа, необходимых для полного и точного описания объекта недвижимости. Эти технические документы являются основой для внесения сведений об объекте недвижимости в ЕГРН».  </w:t>
      </w:r>
    </w:p>
    <w:p w:rsidR="00481CEB" w:rsidRPr="00481CEB" w:rsidRDefault="00481CEB" w:rsidP="00481CEB">
      <w:pPr>
        <w:ind w:firstLine="567"/>
        <w:jc w:val="both"/>
        <w:rPr>
          <w:rFonts w:ascii="Times New Roman" w:hAnsi="Times New Roman"/>
          <w:sz w:val="28"/>
          <w:szCs w:val="28"/>
        </w:rPr>
      </w:pPr>
      <w:r w:rsidRPr="00481CEB">
        <w:rPr>
          <w:rFonts w:ascii="Times New Roman" w:hAnsi="Times New Roman"/>
          <w:sz w:val="28"/>
          <w:szCs w:val="28"/>
        </w:rPr>
        <w:lastRenderedPageBreak/>
        <w:t xml:space="preserve">При этом Наталья Абдуразакова добавила, что роль кадастрового инженера очень важна для проведения процедуры государственного кадастрового учета. Так, законодатель постоянно расширяет его полномочия: в настоящее время кадастровый инженер имеет право </w:t>
      </w:r>
      <w:proofErr w:type="gramStart"/>
      <w:r w:rsidRPr="00481CEB">
        <w:rPr>
          <w:rFonts w:ascii="Times New Roman" w:hAnsi="Times New Roman"/>
          <w:sz w:val="28"/>
          <w:szCs w:val="28"/>
        </w:rPr>
        <w:t>предоставлять документы</w:t>
      </w:r>
      <w:proofErr w:type="gramEnd"/>
      <w:r w:rsidRPr="00481CEB">
        <w:rPr>
          <w:rFonts w:ascii="Times New Roman" w:hAnsi="Times New Roman"/>
          <w:sz w:val="28"/>
          <w:szCs w:val="28"/>
        </w:rPr>
        <w:t xml:space="preserve"> на государственный кадастровый учет в случае изготовления им технического и межевого планов, взаимодействовать с органами регистрации прав посредством электронных сервисов.  </w:t>
      </w:r>
    </w:p>
    <w:p w:rsidR="00481CEB" w:rsidRPr="00481CEB" w:rsidRDefault="00481CEB" w:rsidP="00481CEB">
      <w:pPr>
        <w:ind w:firstLine="567"/>
        <w:jc w:val="both"/>
        <w:rPr>
          <w:rFonts w:ascii="Times New Roman" w:hAnsi="Times New Roman"/>
          <w:sz w:val="28"/>
          <w:szCs w:val="28"/>
        </w:rPr>
      </w:pPr>
      <w:r w:rsidRPr="00481CEB">
        <w:rPr>
          <w:rFonts w:ascii="Times New Roman" w:hAnsi="Times New Roman"/>
          <w:sz w:val="28"/>
          <w:szCs w:val="28"/>
        </w:rPr>
        <w:t xml:space="preserve">Эксперты затронули и тему реестровых ошибок, которые могут быть допущены на разных этапах подготовки документации для кадастрового учета недвижимости. Если неверные данные, которые нарушают права и интересы иных лиц, а также влекут несоответствия в ЕГРН, возникли на этапе подготовки технической документации, то они исправляются на основании предоставленных кадастровым инженером документов, подтверждающих наличие ошибки и основание для ее исправления. </w:t>
      </w:r>
      <w:r w:rsidRPr="00481CEB">
        <w:t xml:space="preserve"> </w:t>
      </w:r>
      <w:r w:rsidRPr="00481CEB">
        <w:rPr>
          <w:rFonts w:ascii="Times New Roman" w:hAnsi="Times New Roman"/>
          <w:sz w:val="28"/>
          <w:szCs w:val="28"/>
        </w:rPr>
        <w:t>Если в результате допущенной ошибки изменяется объем прав либо права в отношении гражданина должны быть прекращены, то такие неточности могут быть исправлены только на основании решения суда.</w:t>
      </w:r>
    </w:p>
    <w:p w:rsidR="00481CEB" w:rsidRPr="00481CEB" w:rsidRDefault="00481CEB" w:rsidP="00481CEB">
      <w:pPr>
        <w:ind w:firstLine="567"/>
        <w:jc w:val="both"/>
        <w:rPr>
          <w:rFonts w:ascii="Times New Roman" w:hAnsi="Times New Roman"/>
          <w:sz w:val="28"/>
          <w:szCs w:val="28"/>
        </w:rPr>
      </w:pPr>
      <w:r w:rsidRPr="00481CEB">
        <w:rPr>
          <w:rFonts w:ascii="Times New Roman" w:hAnsi="Times New Roman"/>
          <w:sz w:val="28"/>
          <w:szCs w:val="28"/>
        </w:rPr>
        <w:t>Полезным советом, которым можно воспользоваться перед приобретением земельного участка, поделилась представитель филиала «</w:t>
      </w:r>
      <w:proofErr w:type="spellStart"/>
      <w:r w:rsidRPr="00481CEB">
        <w:rPr>
          <w:rFonts w:ascii="Times New Roman" w:hAnsi="Times New Roman"/>
          <w:sz w:val="28"/>
          <w:szCs w:val="28"/>
        </w:rPr>
        <w:t>Роскадастр</w:t>
      </w:r>
      <w:proofErr w:type="spellEnd"/>
      <w:r w:rsidRPr="00481CEB">
        <w:rPr>
          <w:rFonts w:ascii="Times New Roman" w:hAnsi="Times New Roman"/>
          <w:sz w:val="28"/>
          <w:szCs w:val="28"/>
        </w:rPr>
        <w:t xml:space="preserve">» по Омской области Ольга </w:t>
      </w:r>
      <w:proofErr w:type="spellStart"/>
      <w:r w:rsidRPr="00481CEB">
        <w:rPr>
          <w:rFonts w:ascii="Times New Roman" w:hAnsi="Times New Roman"/>
          <w:sz w:val="28"/>
          <w:szCs w:val="28"/>
        </w:rPr>
        <w:t>Шиберт</w:t>
      </w:r>
      <w:proofErr w:type="spellEnd"/>
      <w:r w:rsidRPr="00481CEB">
        <w:rPr>
          <w:rFonts w:ascii="Times New Roman" w:hAnsi="Times New Roman"/>
          <w:sz w:val="28"/>
          <w:szCs w:val="28"/>
        </w:rPr>
        <w:t xml:space="preserve">. Она обратила внимание на то, что предлагаемый для покупки участок земли может находиться в зоне с особыми условиями использования территорий. </w:t>
      </w:r>
    </w:p>
    <w:p w:rsidR="00481CEB" w:rsidRPr="00481CEB" w:rsidRDefault="00481CEB" w:rsidP="00481CEB">
      <w:pPr>
        <w:ind w:firstLine="567"/>
        <w:jc w:val="both"/>
        <w:rPr>
          <w:rFonts w:ascii="Times New Roman" w:hAnsi="Times New Roman"/>
          <w:sz w:val="28"/>
          <w:szCs w:val="28"/>
        </w:rPr>
      </w:pPr>
      <w:r w:rsidRPr="00481CEB">
        <w:rPr>
          <w:rFonts w:ascii="Times New Roman" w:hAnsi="Times New Roman"/>
          <w:i/>
          <w:sz w:val="28"/>
          <w:szCs w:val="28"/>
        </w:rPr>
        <w:t>«Перед началом любого строительства следует убедиться, что земельный участок не входит в зону с особыми условиями использования территорий, нет ли в его пределах газопровода или линии электропередач, что может наложить некоторые ограничения при его эксплуатации. Эти данные отображены, например, на публичной кадастровой карте. Информацию об ограничениях в использовании земельных участков можно получить, запросив сведения ЕГРН в виде выписки из ЕГРН об объекте недвижимости. Также необходимо визуально оценить участок на наличие каких-либо инженерных построек. Зоны с особыми условиями использования территорий устанавливаются в целях защиты здоровья граждан, обеспечения сохранности объектов культурного наследия, безопасной эксплуатации объектов транспорта, энергетики, связи, охраны окружающей среды. Этот статус и накладывает ограничения на использование участка»,</w:t>
      </w:r>
      <w:r w:rsidRPr="00481CEB">
        <w:rPr>
          <w:rFonts w:ascii="Times New Roman" w:hAnsi="Times New Roman"/>
          <w:sz w:val="28"/>
          <w:szCs w:val="28"/>
        </w:rPr>
        <w:t xml:space="preserve"> – рассказала начальник отдела инфраструктуры пространственных данных филиала ППК «</w:t>
      </w:r>
      <w:proofErr w:type="spellStart"/>
      <w:r w:rsidRPr="00481CEB">
        <w:rPr>
          <w:rFonts w:ascii="Times New Roman" w:hAnsi="Times New Roman"/>
          <w:sz w:val="28"/>
          <w:szCs w:val="28"/>
        </w:rPr>
        <w:t>Роскадастр</w:t>
      </w:r>
      <w:proofErr w:type="spellEnd"/>
      <w:r w:rsidRPr="00481CEB">
        <w:rPr>
          <w:rFonts w:ascii="Times New Roman" w:hAnsi="Times New Roman"/>
          <w:sz w:val="28"/>
          <w:szCs w:val="28"/>
        </w:rPr>
        <w:t xml:space="preserve">» по Омской области Ольга </w:t>
      </w:r>
      <w:proofErr w:type="spellStart"/>
      <w:r w:rsidRPr="00481CEB">
        <w:rPr>
          <w:rFonts w:ascii="Times New Roman" w:hAnsi="Times New Roman"/>
          <w:sz w:val="28"/>
          <w:szCs w:val="28"/>
        </w:rPr>
        <w:t>Шиберт</w:t>
      </w:r>
      <w:proofErr w:type="spellEnd"/>
      <w:r w:rsidRPr="00481CEB">
        <w:rPr>
          <w:rFonts w:ascii="Times New Roman" w:hAnsi="Times New Roman"/>
          <w:sz w:val="28"/>
          <w:szCs w:val="28"/>
        </w:rPr>
        <w:t>.</w:t>
      </w:r>
    </w:p>
    <w:p w:rsidR="00481CEB" w:rsidRPr="00481CEB" w:rsidRDefault="00481CEB" w:rsidP="00481CEB">
      <w:pPr>
        <w:ind w:firstLine="567"/>
        <w:jc w:val="both"/>
        <w:rPr>
          <w:rFonts w:ascii="Times New Roman" w:hAnsi="Times New Roman"/>
          <w:sz w:val="28"/>
          <w:szCs w:val="28"/>
        </w:rPr>
      </w:pPr>
    </w:p>
    <w:p w:rsidR="00481CEB" w:rsidRPr="00481CEB" w:rsidRDefault="00481CEB" w:rsidP="00481CEB">
      <w:pPr>
        <w:ind w:firstLine="567"/>
        <w:jc w:val="both"/>
        <w:rPr>
          <w:rFonts w:ascii="Times New Roman" w:hAnsi="Times New Roman"/>
          <w:sz w:val="28"/>
          <w:szCs w:val="28"/>
        </w:rPr>
      </w:pPr>
      <w:r w:rsidRPr="00481CEB">
        <w:rPr>
          <w:rFonts w:ascii="Times New Roman" w:hAnsi="Times New Roman"/>
          <w:sz w:val="28"/>
          <w:szCs w:val="28"/>
        </w:rPr>
        <w:t xml:space="preserve">Пресс-служба Управления </w:t>
      </w:r>
      <w:proofErr w:type="spellStart"/>
      <w:r w:rsidRPr="00481CEB">
        <w:rPr>
          <w:rFonts w:ascii="Times New Roman" w:hAnsi="Times New Roman"/>
          <w:sz w:val="28"/>
          <w:szCs w:val="28"/>
        </w:rPr>
        <w:t>Росреестра</w:t>
      </w:r>
      <w:proofErr w:type="spellEnd"/>
      <w:r w:rsidRPr="00481CEB">
        <w:rPr>
          <w:rFonts w:ascii="Times New Roman" w:hAnsi="Times New Roman"/>
          <w:sz w:val="28"/>
          <w:szCs w:val="28"/>
        </w:rPr>
        <w:t xml:space="preserve"> по Омской области</w:t>
      </w:r>
    </w:p>
    <w:p w:rsidR="00481CEB" w:rsidRPr="00481CEB" w:rsidRDefault="00481CEB" w:rsidP="00481CEB">
      <w:pPr>
        <w:ind w:firstLine="567"/>
        <w:jc w:val="both"/>
        <w:rPr>
          <w:rFonts w:ascii="Times New Roman" w:hAnsi="Times New Roman"/>
          <w:sz w:val="28"/>
          <w:szCs w:val="28"/>
        </w:rPr>
      </w:pPr>
    </w:p>
    <w:p w:rsidR="00481CEB" w:rsidRPr="00481CEB" w:rsidRDefault="00481CEB" w:rsidP="00481CEB">
      <w:pPr>
        <w:ind w:firstLine="567"/>
        <w:jc w:val="both"/>
        <w:rPr>
          <w:rFonts w:ascii="Times New Roman" w:hAnsi="Times New Roman"/>
          <w:sz w:val="28"/>
          <w:szCs w:val="28"/>
        </w:rPr>
      </w:pPr>
    </w:p>
    <w:p w:rsidR="008361BE" w:rsidRDefault="008361BE" w:rsidP="008361BE">
      <w:pPr>
        <w:rPr>
          <w:rFonts w:ascii="Times New Roman" w:eastAsia="Times New Roman" w:hAnsi="Times New Roman"/>
          <w:sz w:val="24"/>
          <w:szCs w:val="24"/>
          <w:lang w:eastAsia="ru-RU"/>
        </w:rPr>
      </w:pPr>
    </w:p>
    <w:p w:rsidR="008361BE" w:rsidRDefault="008361BE" w:rsidP="008361BE">
      <w:pPr>
        <w:rPr>
          <w:rFonts w:ascii="Times New Roman" w:eastAsia="Times New Roman" w:hAnsi="Times New Roman"/>
          <w:sz w:val="24"/>
          <w:szCs w:val="24"/>
          <w:lang w:eastAsia="ru-RU"/>
        </w:rPr>
      </w:pPr>
    </w:p>
    <w:p w:rsidR="008361BE" w:rsidRDefault="008361BE" w:rsidP="008361BE">
      <w:pPr>
        <w:rPr>
          <w:rFonts w:ascii="Times New Roman" w:eastAsia="Times New Roman" w:hAnsi="Times New Roman"/>
          <w:sz w:val="24"/>
          <w:szCs w:val="24"/>
          <w:lang w:eastAsia="ru-RU"/>
        </w:rPr>
      </w:pPr>
    </w:p>
    <w:p w:rsidR="008361BE" w:rsidRPr="008361BE" w:rsidRDefault="008361BE" w:rsidP="008361BE">
      <w:pPr>
        <w:pStyle w:val="a5"/>
        <w:numPr>
          <w:ilvl w:val="0"/>
          <w:numId w:val="3"/>
        </w:numPr>
        <w:tabs>
          <w:tab w:val="clear" w:pos="720"/>
        </w:tabs>
        <w:ind w:left="0" w:firstLine="0"/>
        <w:jc w:val="both"/>
        <w:rPr>
          <w:rFonts w:ascii="Times New Roman" w:eastAsia="Times New Roman" w:hAnsi="Times New Roman"/>
          <w:sz w:val="36"/>
          <w:szCs w:val="36"/>
          <w:lang w:eastAsia="ru-RU"/>
        </w:rPr>
      </w:pPr>
      <w:r w:rsidRPr="008361BE">
        <w:rPr>
          <w:rFonts w:ascii="Times New Roman" w:eastAsia="Times New Roman" w:hAnsi="Times New Roman"/>
          <w:sz w:val="36"/>
          <w:szCs w:val="36"/>
          <w:lang w:eastAsia="ru-RU"/>
        </w:rPr>
        <w:lastRenderedPageBreak/>
        <w:t xml:space="preserve">В 26 районах Омской области и Омске с сегодняшнего дня и до 25 июня 2023 года введен особый противопожарный режим. </w:t>
      </w:r>
      <w:r w:rsidRPr="008361BE">
        <w:rPr>
          <w:rFonts w:ascii="Times New Roman" w:eastAsia="Times New Roman" w:hAnsi="Times New Roman"/>
          <w:sz w:val="36"/>
          <w:szCs w:val="36"/>
          <w:lang w:eastAsia="ru-RU"/>
        </w:rPr>
        <w:br/>
      </w:r>
      <w:r w:rsidRPr="008361BE">
        <w:rPr>
          <w:rFonts w:ascii="Times New Roman" w:eastAsia="Times New Roman" w:hAnsi="Times New Roman"/>
          <w:sz w:val="36"/>
          <w:szCs w:val="36"/>
          <w:lang w:eastAsia="ru-RU"/>
        </w:rPr>
        <w:br/>
        <w:t>"На территории Саргатского района запрещается использование открытого огня, в том числе, сжигание мусора, травы, листвы и иных материалов, разведение костров. Установлен запрет на посещение лесов. За нарушение требований пожарной безопасности в условиях особого противопожарного режима налагаются штрафы. Для граждан он составит от 10 тысяч рублей", - сообщили в МЧС России по Омской области.</w:t>
      </w:r>
    </w:p>
    <w:p w:rsidR="00481CEB" w:rsidRPr="008361BE" w:rsidRDefault="008361BE" w:rsidP="008361BE">
      <w:pPr>
        <w:jc w:val="both"/>
        <w:rPr>
          <w:rFonts w:ascii="Times New Roman" w:hAnsi="Times New Roman"/>
          <w:sz w:val="36"/>
          <w:szCs w:val="36"/>
        </w:rPr>
      </w:pPr>
      <w:r w:rsidRPr="008361BE">
        <w:rPr>
          <w:rFonts w:ascii="Times New Roman" w:eastAsia="Times New Roman" w:hAnsi="Times New Roman"/>
          <w:sz w:val="36"/>
          <w:szCs w:val="36"/>
          <w:lang w:eastAsia="ru-RU"/>
        </w:rPr>
        <w:t>Оценили 4 человека</w:t>
      </w:r>
    </w:p>
    <w:p w:rsidR="00134877" w:rsidRDefault="00134877" w:rsidP="008361BE">
      <w:pPr>
        <w:jc w:val="both"/>
        <w:rPr>
          <w:sz w:val="36"/>
          <w:szCs w:val="36"/>
        </w:rPr>
      </w:pPr>
    </w:p>
    <w:p w:rsidR="008361BE" w:rsidRDefault="008361BE" w:rsidP="008361BE">
      <w:pPr>
        <w:jc w:val="both"/>
        <w:rPr>
          <w:sz w:val="36"/>
          <w:szCs w:val="36"/>
        </w:rPr>
      </w:pPr>
    </w:p>
    <w:p w:rsidR="008361BE" w:rsidRPr="008361BE" w:rsidRDefault="008361BE" w:rsidP="008361BE">
      <w:pPr>
        <w:jc w:val="both"/>
        <w:rPr>
          <w:sz w:val="36"/>
          <w:szCs w:val="36"/>
        </w:rPr>
      </w:pPr>
      <w:r>
        <w:rPr>
          <w:noProof/>
          <w:sz w:val="36"/>
          <w:szCs w:val="36"/>
          <w:lang w:eastAsia="ru-RU"/>
        </w:rPr>
        <w:drawing>
          <wp:inline distT="0" distB="0" distL="0" distR="0">
            <wp:extent cx="5940425" cy="4186143"/>
            <wp:effectExtent l="0" t="0" r="3175" b="5080"/>
            <wp:docPr id="2" name="Рисунок 2" descr="C:\Users\AdmOlg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Olga\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186143"/>
                    </a:xfrm>
                    <a:prstGeom prst="rect">
                      <a:avLst/>
                    </a:prstGeom>
                    <a:noFill/>
                    <a:ln>
                      <a:noFill/>
                    </a:ln>
                  </pic:spPr>
                </pic:pic>
              </a:graphicData>
            </a:graphic>
          </wp:inline>
        </w:drawing>
      </w:r>
      <w:bookmarkStart w:id="0" w:name="_GoBack"/>
      <w:bookmarkEnd w:id="0"/>
    </w:p>
    <w:sectPr w:rsidR="008361BE" w:rsidRPr="00836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Описание: ❗" style="width:12pt;height:12pt;visibility:visible;mso-wrap-style:square" o:bullet="t">
        <v:imagedata r:id="rId1" o:title="❗"/>
      </v:shape>
    </w:pict>
  </w:numPicBullet>
  <w:abstractNum w:abstractNumId="0">
    <w:nsid w:val="26401806"/>
    <w:multiLevelType w:val="hybridMultilevel"/>
    <w:tmpl w:val="8642F406"/>
    <w:lvl w:ilvl="0" w:tplc="2FAE834C">
      <w:start w:val="1"/>
      <w:numFmt w:val="bullet"/>
      <w:lvlText w:val=""/>
      <w:lvlPicBulletId w:val="0"/>
      <w:lvlJc w:val="left"/>
      <w:pPr>
        <w:tabs>
          <w:tab w:val="num" w:pos="720"/>
        </w:tabs>
        <w:ind w:left="720" w:hanging="360"/>
      </w:pPr>
      <w:rPr>
        <w:rFonts w:ascii="Symbol" w:hAnsi="Symbol" w:hint="default"/>
      </w:rPr>
    </w:lvl>
    <w:lvl w:ilvl="1" w:tplc="7EE0D196" w:tentative="1">
      <w:start w:val="1"/>
      <w:numFmt w:val="bullet"/>
      <w:lvlText w:val=""/>
      <w:lvlJc w:val="left"/>
      <w:pPr>
        <w:tabs>
          <w:tab w:val="num" w:pos="1440"/>
        </w:tabs>
        <w:ind w:left="1440" w:hanging="360"/>
      </w:pPr>
      <w:rPr>
        <w:rFonts w:ascii="Symbol" w:hAnsi="Symbol" w:hint="default"/>
      </w:rPr>
    </w:lvl>
    <w:lvl w:ilvl="2" w:tplc="E08614A6" w:tentative="1">
      <w:start w:val="1"/>
      <w:numFmt w:val="bullet"/>
      <w:lvlText w:val=""/>
      <w:lvlJc w:val="left"/>
      <w:pPr>
        <w:tabs>
          <w:tab w:val="num" w:pos="2160"/>
        </w:tabs>
        <w:ind w:left="2160" w:hanging="360"/>
      </w:pPr>
      <w:rPr>
        <w:rFonts w:ascii="Symbol" w:hAnsi="Symbol" w:hint="default"/>
      </w:rPr>
    </w:lvl>
    <w:lvl w:ilvl="3" w:tplc="9448F22E" w:tentative="1">
      <w:start w:val="1"/>
      <w:numFmt w:val="bullet"/>
      <w:lvlText w:val=""/>
      <w:lvlJc w:val="left"/>
      <w:pPr>
        <w:tabs>
          <w:tab w:val="num" w:pos="2880"/>
        </w:tabs>
        <w:ind w:left="2880" w:hanging="360"/>
      </w:pPr>
      <w:rPr>
        <w:rFonts w:ascii="Symbol" w:hAnsi="Symbol" w:hint="default"/>
      </w:rPr>
    </w:lvl>
    <w:lvl w:ilvl="4" w:tplc="5D888DE4" w:tentative="1">
      <w:start w:val="1"/>
      <w:numFmt w:val="bullet"/>
      <w:lvlText w:val=""/>
      <w:lvlJc w:val="left"/>
      <w:pPr>
        <w:tabs>
          <w:tab w:val="num" w:pos="3600"/>
        </w:tabs>
        <w:ind w:left="3600" w:hanging="360"/>
      </w:pPr>
      <w:rPr>
        <w:rFonts w:ascii="Symbol" w:hAnsi="Symbol" w:hint="default"/>
      </w:rPr>
    </w:lvl>
    <w:lvl w:ilvl="5" w:tplc="CED08D4E" w:tentative="1">
      <w:start w:val="1"/>
      <w:numFmt w:val="bullet"/>
      <w:lvlText w:val=""/>
      <w:lvlJc w:val="left"/>
      <w:pPr>
        <w:tabs>
          <w:tab w:val="num" w:pos="4320"/>
        </w:tabs>
        <w:ind w:left="4320" w:hanging="360"/>
      </w:pPr>
      <w:rPr>
        <w:rFonts w:ascii="Symbol" w:hAnsi="Symbol" w:hint="default"/>
      </w:rPr>
    </w:lvl>
    <w:lvl w:ilvl="6" w:tplc="6FE8A8D2" w:tentative="1">
      <w:start w:val="1"/>
      <w:numFmt w:val="bullet"/>
      <w:lvlText w:val=""/>
      <w:lvlJc w:val="left"/>
      <w:pPr>
        <w:tabs>
          <w:tab w:val="num" w:pos="5040"/>
        </w:tabs>
        <w:ind w:left="5040" w:hanging="360"/>
      </w:pPr>
      <w:rPr>
        <w:rFonts w:ascii="Symbol" w:hAnsi="Symbol" w:hint="default"/>
      </w:rPr>
    </w:lvl>
    <w:lvl w:ilvl="7" w:tplc="10D8B37E" w:tentative="1">
      <w:start w:val="1"/>
      <w:numFmt w:val="bullet"/>
      <w:lvlText w:val=""/>
      <w:lvlJc w:val="left"/>
      <w:pPr>
        <w:tabs>
          <w:tab w:val="num" w:pos="5760"/>
        </w:tabs>
        <w:ind w:left="5760" w:hanging="360"/>
      </w:pPr>
      <w:rPr>
        <w:rFonts w:ascii="Symbol" w:hAnsi="Symbol" w:hint="default"/>
      </w:rPr>
    </w:lvl>
    <w:lvl w:ilvl="8" w:tplc="8966B44C" w:tentative="1">
      <w:start w:val="1"/>
      <w:numFmt w:val="bullet"/>
      <w:lvlText w:val=""/>
      <w:lvlJc w:val="left"/>
      <w:pPr>
        <w:tabs>
          <w:tab w:val="num" w:pos="6480"/>
        </w:tabs>
        <w:ind w:left="6480" w:hanging="360"/>
      </w:pPr>
      <w:rPr>
        <w:rFonts w:ascii="Symbol" w:hAnsi="Symbol" w:hint="default"/>
      </w:rPr>
    </w:lvl>
  </w:abstractNum>
  <w:abstractNum w:abstractNumId="1">
    <w:nsid w:val="32731CFB"/>
    <w:multiLevelType w:val="multilevel"/>
    <w:tmpl w:val="E1806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7BF21AE"/>
    <w:multiLevelType w:val="multilevel"/>
    <w:tmpl w:val="8C08A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40"/>
    <w:rsid w:val="00134877"/>
    <w:rsid w:val="00481CEB"/>
    <w:rsid w:val="008361BE"/>
    <w:rsid w:val="00E3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1BE"/>
    <w:rPr>
      <w:rFonts w:ascii="Tahoma" w:hAnsi="Tahoma" w:cs="Tahoma"/>
      <w:sz w:val="16"/>
      <w:szCs w:val="16"/>
    </w:rPr>
  </w:style>
  <w:style w:type="character" w:customStyle="1" w:styleId="a4">
    <w:name w:val="Текст выноски Знак"/>
    <w:basedOn w:val="a0"/>
    <w:link w:val="a3"/>
    <w:uiPriority w:val="99"/>
    <w:semiHidden/>
    <w:rsid w:val="008361BE"/>
    <w:rPr>
      <w:rFonts w:ascii="Tahoma" w:eastAsia="Calibri" w:hAnsi="Tahoma" w:cs="Tahoma"/>
      <w:sz w:val="16"/>
      <w:szCs w:val="16"/>
    </w:rPr>
  </w:style>
  <w:style w:type="paragraph" w:styleId="a5">
    <w:name w:val="List Paragraph"/>
    <w:basedOn w:val="a"/>
    <w:uiPriority w:val="34"/>
    <w:qFormat/>
    <w:rsid w:val="00836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1BE"/>
    <w:rPr>
      <w:rFonts w:ascii="Tahoma" w:hAnsi="Tahoma" w:cs="Tahoma"/>
      <w:sz w:val="16"/>
      <w:szCs w:val="16"/>
    </w:rPr>
  </w:style>
  <w:style w:type="character" w:customStyle="1" w:styleId="a4">
    <w:name w:val="Текст выноски Знак"/>
    <w:basedOn w:val="a0"/>
    <w:link w:val="a3"/>
    <w:uiPriority w:val="99"/>
    <w:semiHidden/>
    <w:rsid w:val="008361BE"/>
    <w:rPr>
      <w:rFonts w:ascii="Tahoma" w:eastAsia="Calibri" w:hAnsi="Tahoma" w:cs="Tahoma"/>
      <w:sz w:val="16"/>
      <w:szCs w:val="16"/>
    </w:rPr>
  </w:style>
  <w:style w:type="paragraph" w:styleId="a5">
    <w:name w:val="List Paragraph"/>
    <w:basedOn w:val="a"/>
    <w:uiPriority w:val="34"/>
    <w:qFormat/>
    <w:rsid w:val="00836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17041">
      <w:bodyDiv w:val="1"/>
      <w:marLeft w:val="0"/>
      <w:marRight w:val="0"/>
      <w:marTop w:val="0"/>
      <w:marBottom w:val="0"/>
      <w:divBdr>
        <w:top w:val="none" w:sz="0" w:space="0" w:color="auto"/>
        <w:left w:val="none" w:sz="0" w:space="0" w:color="auto"/>
        <w:bottom w:val="none" w:sz="0" w:space="0" w:color="auto"/>
        <w:right w:val="none" w:sz="0" w:space="0" w:color="auto"/>
      </w:divBdr>
    </w:div>
    <w:div w:id="525292784">
      <w:bodyDiv w:val="1"/>
      <w:marLeft w:val="0"/>
      <w:marRight w:val="0"/>
      <w:marTop w:val="0"/>
      <w:marBottom w:val="0"/>
      <w:divBdr>
        <w:top w:val="none" w:sz="0" w:space="0" w:color="auto"/>
        <w:left w:val="none" w:sz="0" w:space="0" w:color="auto"/>
        <w:bottom w:val="none" w:sz="0" w:space="0" w:color="auto"/>
        <w:right w:val="none" w:sz="0" w:space="0" w:color="auto"/>
      </w:divBdr>
    </w:div>
    <w:div w:id="566456502">
      <w:bodyDiv w:val="1"/>
      <w:marLeft w:val="0"/>
      <w:marRight w:val="0"/>
      <w:marTop w:val="0"/>
      <w:marBottom w:val="0"/>
      <w:divBdr>
        <w:top w:val="none" w:sz="0" w:space="0" w:color="auto"/>
        <w:left w:val="none" w:sz="0" w:space="0" w:color="auto"/>
        <w:bottom w:val="none" w:sz="0" w:space="0" w:color="auto"/>
        <w:right w:val="none" w:sz="0" w:space="0" w:color="auto"/>
      </w:divBdr>
    </w:div>
    <w:div w:id="767117878">
      <w:bodyDiv w:val="1"/>
      <w:marLeft w:val="0"/>
      <w:marRight w:val="0"/>
      <w:marTop w:val="0"/>
      <w:marBottom w:val="0"/>
      <w:divBdr>
        <w:top w:val="none" w:sz="0" w:space="0" w:color="auto"/>
        <w:left w:val="none" w:sz="0" w:space="0" w:color="auto"/>
        <w:bottom w:val="none" w:sz="0" w:space="0" w:color="auto"/>
        <w:right w:val="none" w:sz="0" w:space="0" w:color="auto"/>
      </w:divBdr>
      <w:divsChild>
        <w:div w:id="1144154387">
          <w:marLeft w:val="0"/>
          <w:marRight w:val="0"/>
          <w:marTop w:val="0"/>
          <w:marBottom w:val="0"/>
          <w:divBdr>
            <w:top w:val="none" w:sz="0" w:space="0" w:color="auto"/>
            <w:left w:val="none" w:sz="0" w:space="0" w:color="auto"/>
            <w:bottom w:val="none" w:sz="0" w:space="0" w:color="auto"/>
            <w:right w:val="none" w:sz="0" w:space="0" w:color="auto"/>
          </w:divBdr>
          <w:divsChild>
            <w:div w:id="1534616244">
              <w:marLeft w:val="0"/>
              <w:marRight w:val="0"/>
              <w:marTop w:val="0"/>
              <w:marBottom w:val="0"/>
              <w:divBdr>
                <w:top w:val="none" w:sz="0" w:space="0" w:color="auto"/>
                <w:left w:val="none" w:sz="0" w:space="0" w:color="auto"/>
                <w:bottom w:val="none" w:sz="0" w:space="0" w:color="auto"/>
                <w:right w:val="none" w:sz="0" w:space="0" w:color="auto"/>
              </w:divBdr>
              <w:divsChild>
                <w:div w:id="3745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7000">
      <w:bodyDiv w:val="1"/>
      <w:marLeft w:val="0"/>
      <w:marRight w:val="0"/>
      <w:marTop w:val="0"/>
      <w:marBottom w:val="0"/>
      <w:divBdr>
        <w:top w:val="none" w:sz="0" w:space="0" w:color="auto"/>
        <w:left w:val="none" w:sz="0" w:space="0" w:color="auto"/>
        <w:bottom w:val="none" w:sz="0" w:space="0" w:color="auto"/>
        <w:right w:val="none" w:sz="0" w:space="0" w:color="auto"/>
      </w:divBdr>
    </w:div>
    <w:div w:id="17368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3036</Words>
  <Characters>17310</Characters>
  <Application>Microsoft Office Word</Application>
  <DocSecurity>0</DocSecurity>
  <Lines>144</Lines>
  <Paragraphs>40</Paragraphs>
  <ScaleCrop>false</ScaleCrop>
  <Company>SPecialiST RePack</Company>
  <LinksUpToDate>false</LinksUpToDate>
  <CharactersWithSpaces>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4</cp:revision>
  <dcterms:created xsi:type="dcterms:W3CDTF">2023-04-27T04:28:00Z</dcterms:created>
  <dcterms:modified xsi:type="dcterms:W3CDTF">2023-04-27T04:38:00Z</dcterms:modified>
</cp:coreProperties>
</file>